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A6B9" w14:textId="5FC207B0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</w:t>
      </w:r>
      <w:r w:rsidR="00ED1968">
        <w:rPr>
          <w:rFonts w:ascii="Century Gothic" w:hAnsi="Century Gothic"/>
          <w:b/>
          <w:bCs/>
          <w:color w:val="800080"/>
          <w:sz w:val="28"/>
          <w:szCs w:val="28"/>
        </w:rPr>
        <w:t>1</w:t>
      </w:r>
      <w:r w:rsidR="004003E9">
        <w:rPr>
          <w:rFonts w:ascii="Century Gothic" w:hAnsi="Century Gothic"/>
          <w:b/>
          <w:bCs/>
          <w:color w:val="800080"/>
          <w:sz w:val="28"/>
          <w:szCs w:val="28"/>
        </w:rPr>
        <w:t>36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035F68" w:rsidRPr="00937DD8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4F2C14">
        <w:rPr>
          <w:rFonts w:ascii="Century Gothic" w:hAnsi="Century Gothic"/>
          <w:b/>
          <w:bCs/>
          <w:color w:val="800080"/>
          <w:sz w:val="28"/>
          <w:szCs w:val="28"/>
        </w:rPr>
        <w:t>F</w:t>
      </w:r>
      <w:r w:rsidR="006E1FE7"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5A1B8E">
        <w:rPr>
          <w:rFonts w:ascii="Century Gothic" w:hAnsi="Century Gothic"/>
          <w:b/>
          <w:bCs/>
          <w:color w:val="800080"/>
          <w:sz w:val="28"/>
          <w:szCs w:val="28"/>
        </w:rPr>
        <w:t>L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/T</w:t>
      </w:r>
      <w:r w:rsidR="00BD6775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 Nr. 15697)</w:t>
      </w:r>
    </w:p>
    <w:p w14:paraId="7A9C202B" w14:textId="5D09B278" w:rsidR="00F21ADF" w:rsidRPr="00DB4E4A" w:rsidRDefault="00F67125" w:rsidP="0009637E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AB4F96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Wärmetauscher, </w:t>
      </w:r>
      <w:r w:rsidR="00F46641" w:rsidRPr="00DB4E4A">
        <w:rPr>
          <w:rFonts w:ascii="Century Gothic" w:hAnsi="Century Gothic" w:cs="Arial"/>
          <w:sz w:val="18"/>
          <w:szCs w:val="18"/>
        </w:rPr>
        <w:t>einem Solarwärmetauscher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294C18C4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ED1968">
        <w:rPr>
          <w:rFonts w:ascii="Century Gothic" w:hAnsi="Century Gothic" w:cs="Arial"/>
          <w:b/>
          <w:bCs/>
          <w:color w:val="800080"/>
          <w:szCs w:val="18"/>
        </w:rPr>
        <w:t>1</w:t>
      </w:r>
      <w:r w:rsidR="004003E9">
        <w:rPr>
          <w:rFonts w:ascii="Century Gothic" w:hAnsi="Century Gothic" w:cs="Arial"/>
          <w:b/>
          <w:bCs/>
          <w:color w:val="800080"/>
          <w:szCs w:val="18"/>
        </w:rPr>
        <w:t>36</w:t>
      </w:r>
    </w:p>
    <w:p w14:paraId="7117D8C6" w14:textId="1CD9A479" w:rsidR="005C1EB1" w:rsidRDefault="005C1EB1" w:rsidP="0009637E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4929AD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168D96A2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ED1968">
        <w:rPr>
          <w:rFonts w:ascii="Century Gothic" w:hAnsi="Century Gothic" w:cs="Arial"/>
          <w:sz w:val="18"/>
          <w:szCs w:val="18"/>
        </w:rPr>
        <w:t>1</w:t>
      </w:r>
      <w:r w:rsidR="004003E9">
        <w:rPr>
          <w:rFonts w:ascii="Century Gothic" w:hAnsi="Century Gothic" w:cs="Arial"/>
          <w:sz w:val="18"/>
          <w:szCs w:val="18"/>
        </w:rPr>
        <w:t>360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53F44F98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86532C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A8428B">
        <w:rPr>
          <w:rFonts w:ascii="Century Gothic" w:hAnsi="Century Gothic" w:cs="Arial"/>
          <w:sz w:val="18"/>
          <w:szCs w:val="18"/>
        </w:rPr>
        <w:t>9</w:t>
      </w:r>
      <w:r w:rsidR="00ED1968">
        <w:rPr>
          <w:rFonts w:ascii="Century Gothic" w:hAnsi="Century Gothic" w:cs="Arial"/>
          <w:sz w:val="18"/>
          <w:szCs w:val="18"/>
        </w:rPr>
        <w:t>5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04FCCD1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A8428B">
        <w:rPr>
          <w:rFonts w:ascii="Century Gothic" w:hAnsi="Century Gothic" w:cs="Arial"/>
          <w:sz w:val="18"/>
          <w:szCs w:val="18"/>
        </w:rPr>
        <w:t>2110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7155313D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</w:r>
      <w:r w:rsidR="005A1B8E">
        <w:rPr>
          <w:rFonts w:ascii="Century Gothic" w:hAnsi="Century Gothic" w:cs="Arial"/>
          <w:sz w:val="18"/>
          <w:szCs w:val="18"/>
        </w:rPr>
        <w:t>2</w:t>
      </w:r>
      <w:r w:rsidR="00A8428B">
        <w:rPr>
          <w:rFonts w:ascii="Century Gothic" w:hAnsi="Century Gothic" w:cs="Arial"/>
          <w:sz w:val="18"/>
          <w:szCs w:val="18"/>
        </w:rPr>
        <w:t>240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6CD9EB10" w:rsidR="005E3FC3" w:rsidRDefault="00F21ADF" w:rsidP="007D2FA1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86532C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7F1BB607" w14:textId="3487EA75" w:rsidR="007D2FA1" w:rsidRDefault="007D2FA1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7D2FA1">
        <w:rPr>
          <w:rFonts w:ascii="Century Gothic" w:hAnsi="Century Gothic" w:cs="Arial"/>
          <w:sz w:val="18"/>
          <w:szCs w:val="18"/>
        </w:rPr>
        <w:t>Schichtungseffizienz:</w:t>
      </w:r>
      <w:r w:rsidRPr="007D2FA1">
        <w:rPr>
          <w:rFonts w:ascii="Century Gothic" w:hAnsi="Century Gothic" w:cs="Arial"/>
          <w:sz w:val="18"/>
          <w:szCs w:val="18"/>
        </w:rPr>
        <w:tab/>
      </w:r>
      <w:r w:rsidRPr="007D2FA1">
        <w:rPr>
          <w:rFonts w:ascii="Century Gothic" w:hAnsi="Century Gothic" w:cs="Arial"/>
          <w:sz w:val="18"/>
          <w:szCs w:val="18"/>
        </w:rPr>
        <w:tab/>
      </w:r>
      <w:r w:rsidRPr="007D2FA1">
        <w:rPr>
          <w:rFonts w:ascii="Century Gothic" w:hAnsi="Century Gothic" w:cs="Arial"/>
          <w:sz w:val="18"/>
          <w:szCs w:val="18"/>
        </w:rPr>
        <w:tab/>
      </w:r>
      <w:r w:rsidRPr="007D2FA1">
        <w:rPr>
          <w:rFonts w:ascii="Century Gothic" w:hAnsi="Century Gothic" w:cs="Arial"/>
          <w:sz w:val="18"/>
          <w:szCs w:val="18"/>
        </w:rPr>
        <w:tab/>
      </w:r>
      <w:r w:rsidRPr="007D2FA1">
        <w:rPr>
          <w:rFonts w:ascii="Century Gothic" w:hAnsi="Century Gothic" w:cs="Arial"/>
          <w:sz w:val="18"/>
          <w:szCs w:val="18"/>
        </w:rPr>
        <w:tab/>
      </w:r>
      <w:r w:rsidRPr="007D2FA1">
        <w:rPr>
          <w:rFonts w:ascii="Century Gothic" w:hAnsi="Century Gothic" w:cs="Arial"/>
          <w:sz w:val="18"/>
          <w:szCs w:val="18"/>
        </w:rPr>
        <w:tab/>
      </w:r>
      <w:r w:rsidRPr="007D2FA1">
        <w:rPr>
          <w:rFonts w:ascii="Century Gothic" w:hAnsi="Century Gothic" w:cs="Arial"/>
          <w:sz w:val="18"/>
          <w:szCs w:val="18"/>
        </w:rPr>
        <w:tab/>
      </w:r>
      <w:r w:rsidRPr="007D2FA1">
        <w:rPr>
          <w:rFonts w:ascii="Century Gothic" w:hAnsi="Century Gothic" w:cs="Arial"/>
          <w:sz w:val="18"/>
          <w:szCs w:val="18"/>
        </w:rPr>
        <w:tab/>
        <w:t>mindestens 86 %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86532C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86532C" w:rsidRDefault="004735A9" w:rsidP="004735A9">
      <w:pPr>
        <w:spacing w:after="0" w:line="240" w:lineRule="auto"/>
        <w:rPr>
          <w:rFonts w:ascii="Century Gothic" w:hAnsi="Century Gothic" w:cs="Arial"/>
          <w:sz w:val="6"/>
          <w:szCs w:val="18"/>
        </w:rPr>
      </w:pPr>
    </w:p>
    <w:p w14:paraId="23153F1E" w14:textId="7A882432" w:rsidR="007A7E60" w:rsidRPr="0086532C" w:rsidRDefault="0086532C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86532C">
        <w:rPr>
          <w:rFonts w:ascii="Century Gothic" w:hAnsi="Century Gothic" w:cs="Arial"/>
          <w:sz w:val="18"/>
          <w:szCs w:val="18"/>
        </w:rPr>
        <w:t>1 x</w:t>
      </w:r>
      <w:r w:rsidRPr="0086532C">
        <w:rPr>
          <w:rFonts w:ascii="Century Gothic" w:hAnsi="Century Gothic" w:cs="Arial"/>
          <w:sz w:val="18"/>
          <w:szCs w:val="18"/>
        </w:rPr>
        <w:tab/>
      </w:r>
      <w:r w:rsidR="007A7E60" w:rsidRPr="0086532C">
        <w:rPr>
          <w:rFonts w:ascii="Century Gothic" w:hAnsi="Century Gothic" w:cs="Arial"/>
          <w:sz w:val="18"/>
          <w:szCs w:val="18"/>
        </w:rPr>
        <w:t>IG 1“</w:t>
      </w:r>
      <w:r w:rsidRPr="0086532C">
        <w:rPr>
          <w:rFonts w:ascii="Century Gothic" w:hAnsi="Century Gothic" w:cs="Arial"/>
          <w:sz w:val="18"/>
          <w:szCs w:val="18"/>
        </w:rPr>
        <w:tab/>
      </w:r>
      <w:r w:rsidRPr="0086532C">
        <w:rPr>
          <w:rFonts w:ascii="Century Gothic" w:hAnsi="Century Gothic" w:cs="Arial"/>
          <w:sz w:val="18"/>
          <w:szCs w:val="18"/>
        </w:rPr>
        <w:tab/>
      </w:r>
      <w:r w:rsidRPr="0086532C">
        <w:rPr>
          <w:rFonts w:ascii="Century Gothic" w:hAnsi="Century Gothic" w:cs="Arial"/>
          <w:sz w:val="18"/>
          <w:szCs w:val="18"/>
        </w:rPr>
        <w:tab/>
      </w:r>
      <w:r w:rsidRPr="0086532C">
        <w:rPr>
          <w:rFonts w:ascii="Century Gothic" w:hAnsi="Century Gothic" w:cs="Arial"/>
          <w:sz w:val="18"/>
          <w:szCs w:val="18"/>
        </w:rPr>
        <w:tab/>
      </w:r>
      <w:r w:rsidR="007A7E60" w:rsidRPr="0086532C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5DF3B9B0" w:rsidR="007A7E60" w:rsidRPr="007A7E60" w:rsidRDefault="0086532C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EB946BB" w14:textId="2917DA32" w:rsidR="0083222E" w:rsidRDefault="0086532C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</w:t>
      </w:r>
      <w:r>
        <w:rPr>
          <w:rFonts w:ascii="Century Gothic" w:hAnsi="Century Gothic" w:cs="Arial"/>
          <w:sz w:val="18"/>
          <w:szCs w:val="18"/>
        </w:rPr>
        <w:t>G 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FA532F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0225CE18" w:rsidR="00B62CC4" w:rsidRDefault="0086532C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245F5C">
        <w:rPr>
          <w:rFonts w:ascii="Century Gothic" w:hAnsi="Century Gothic" w:cs="Arial"/>
          <w:sz w:val="18"/>
          <w:szCs w:val="18"/>
        </w:rPr>
        <w:t>6</w:t>
      </w:r>
      <w:r w:rsidR="00B62CC4">
        <w:rPr>
          <w:rFonts w:ascii="Century Gothic" w:hAnsi="Century Gothic" w:cs="Arial"/>
          <w:sz w:val="18"/>
          <w:szCs w:val="18"/>
        </w:rPr>
        <w:t>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46EEA748" w:rsidR="00B62CC4" w:rsidRDefault="0086532C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3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F37725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7E18A1BB" w:rsidR="000122FA" w:rsidRDefault="0086532C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</w:t>
      </w:r>
      <w:r>
        <w:rPr>
          <w:rFonts w:ascii="Century Gothic" w:hAnsi="Century Gothic" w:cs="Arial"/>
          <w:sz w:val="18"/>
          <w:szCs w:val="18"/>
        </w:rPr>
        <w:t>6/4</w:t>
      </w:r>
      <w:r w:rsidR="008845FC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D73488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291E5842" w:rsidR="0083222E" w:rsidRDefault="0086532C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183F6A1E" w14:textId="7E89B9DC" w:rsidR="000122FA" w:rsidRDefault="0086532C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</w:t>
      </w:r>
      <w:r w:rsidR="00B0675C">
        <w:rPr>
          <w:rFonts w:ascii="Century Gothic" w:hAnsi="Century Gothic" w:cs="Arial"/>
          <w:sz w:val="18"/>
          <w:szCs w:val="18"/>
        </w:rPr>
        <w:t>1</w:t>
      </w:r>
      <w:r w:rsidR="000122FA">
        <w:rPr>
          <w:rFonts w:ascii="Century Gothic" w:hAnsi="Century Gothic" w:cs="Arial"/>
          <w:sz w:val="18"/>
          <w:szCs w:val="18"/>
        </w:rPr>
        <w:t>"</w:t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Solartauscher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1.4403/V2A</w:t>
      </w:r>
      <w:r w:rsidR="0083222E">
        <w:rPr>
          <w:rFonts w:ascii="Century Gothic" w:hAnsi="Century Gothic" w:cs="Arial"/>
          <w:sz w:val="18"/>
          <w:szCs w:val="18"/>
        </w:rPr>
        <w:t xml:space="preserve"> (max. -Betriebsdruck 8,0 </w:t>
      </w:r>
      <w:r w:rsidR="00D73488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D6C930B" w14:textId="569BAF58" w:rsidR="00F21ADF" w:rsidRPr="00B053BA" w:rsidRDefault="00F21ADF" w:rsidP="0086532C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86532C">
        <w:rPr>
          <w:rFonts w:ascii="Century Gothic" w:hAnsi="Century Gothic" w:cs="Arial"/>
          <w:b/>
          <w:sz w:val="18"/>
          <w:szCs w:val="18"/>
        </w:rPr>
        <w:t>Schichtmodul</w:t>
      </w:r>
      <w:r w:rsidR="000028C6" w:rsidRPr="0086532C">
        <w:rPr>
          <w:rFonts w:ascii="Century Gothic" w:hAnsi="Century Gothic" w:cs="Arial"/>
          <w:b/>
          <w:sz w:val="18"/>
          <w:szCs w:val="18"/>
        </w:rPr>
        <w:t>e</w:t>
      </w:r>
    </w:p>
    <w:p w14:paraId="00D038FD" w14:textId="4331E98F" w:rsidR="00411E31" w:rsidRDefault="00411E31" w:rsidP="00411E31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  <w:r w:rsidR="007D2FA1">
        <w:rPr>
          <w:rFonts w:ascii="Century Gothic" w:hAnsi="Century Gothic" w:cs="Arial"/>
          <w:sz w:val="18"/>
          <w:szCs w:val="18"/>
        </w:rPr>
        <w:t xml:space="preserve"> </w:t>
      </w:r>
      <w:r w:rsidR="007D2FA1" w:rsidRPr="007D2FA1">
        <w:rPr>
          <w:rFonts w:ascii="Century Gothic" w:hAnsi="Century Gothic" w:cs="Arial"/>
          <w:sz w:val="18"/>
          <w:szCs w:val="18"/>
        </w:rPr>
        <w:t>Die patentierten Schichtweichen garantieren auch bei hohen Volumenströmen eine beruhigte Einströmung zur Erhaltung der thermischen Schichtung. Die Schichtungseffizienz ist SPF Zertifiziert und weist mindestens 86% aus.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5B96DE71" w:rsidR="004735A9" w:rsidRDefault="00C84121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1C7AC487" w:rsidR="004735A9" w:rsidRDefault="0086532C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C84121">
        <w:rPr>
          <w:rFonts w:ascii="Century Gothic" w:hAnsi="Century Gothic" w:cs="Arial"/>
          <w:sz w:val="18"/>
          <w:szCs w:val="18"/>
        </w:rPr>
        <w:t xml:space="preserve">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 w:rsidR="00C84121"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C84121">
        <w:rPr>
          <w:rFonts w:ascii="Century Gothic" w:hAnsi="Century Gothic" w:cs="Arial"/>
          <w:sz w:val="18"/>
          <w:szCs w:val="18"/>
        </w:rPr>
        <w:t>Wärmeaustauschfläche erlaubt außerordentliche</w:t>
      </w:r>
      <w:r w:rsidR="00C84121"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 w:rsidR="00C84121"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152132E1" w:rsidR="004735A9" w:rsidRDefault="00C84121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46440B5A" w:rsidR="00F52FF1" w:rsidRDefault="007F0EC5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49FB8AD5" w14:textId="287AB62B" w:rsidR="006E1FE7" w:rsidRPr="006E1FE7" w:rsidRDefault="006E1FE7" w:rsidP="0086532C">
      <w:pPr>
        <w:spacing w:before="120"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6E1FE7">
        <w:rPr>
          <w:rFonts w:ascii="Century Gothic" w:hAnsi="Century Gothic" w:cs="Arial"/>
          <w:b/>
          <w:sz w:val="18"/>
          <w:szCs w:val="18"/>
        </w:rPr>
        <w:t>Solartauscher</w:t>
      </w:r>
    </w:p>
    <w:p w14:paraId="734F8B71" w14:textId="413335E4" w:rsidR="006E1FE7" w:rsidRPr="006E1FE7" w:rsidRDefault="0019205D" w:rsidP="0009637E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l</w:t>
      </w:r>
      <w:r w:rsidR="006E1FE7" w:rsidRPr="006E1FE7">
        <w:rPr>
          <w:rFonts w:ascii="Century Gothic" w:hAnsi="Century Gothic" w:cs="Arial"/>
          <w:sz w:val="18"/>
          <w:szCs w:val="18"/>
        </w:rPr>
        <w:t>eistungsmaximierende Anord</w:t>
      </w:r>
      <w:bookmarkStart w:id="0" w:name="_GoBack"/>
      <w:bookmarkEnd w:id="0"/>
      <w:r w:rsidR="006E1FE7" w:rsidRPr="006E1FE7">
        <w:rPr>
          <w:rFonts w:ascii="Century Gothic" w:hAnsi="Century Gothic" w:cs="Arial"/>
          <w:sz w:val="18"/>
          <w:szCs w:val="18"/>
        </w:rPr>
        <w:t>nung de</w:t>
      </w:r>
      <w:r w:rsidR="008C787F">
        <w:rPr>
          <w:rFonts w:ascii="Century Gothic" w:hAnsi="Century Gothic" w:cs="Arial"/>
          <w:sz w:val="18"/>
          <w:szCs w:val="18"/>
        </w:rPr>
        <w:t>s</w:t>
      </w:r>
      <w:r w:rsidR="006E1FE7" w:rsidRPr="006E1FE7">
        <w:rPr>
          <w:rFonts w:ascii="Century Gothic" w:hAnsi="Century Gothic" w:cs="Arial"/>
          <w:sz w:val="18"/>
          <w:szCs w:val="18"/>
        </w:rPr>
        <w:t xml:space="preserve"> </w:t>
      </w:r>
      <w:r w:rsidR="008C787F">
        <w:rPr>
          <w:rFonts w:ascii="Century Gothic" w:hAnsi="Century Gothic" w:cs="Arial"/>
          <w:sz w:val="18"/>
          <w:szCs w:val="18"/>
        </w:rPr>
        <w:t>Wärme</w:t>
      </w:r>
      <w:r w:rsidR="009D1B07">
        <w:rPr>
          <w:rFonts w:ascii="Century Gothic" w:hAnsi="Century Gothic" w:cs="Arial"/>
          <w:sz w:val="18"/>
          <w:szCs w:val="18"/>
        </w:rPr>
        <w:t>tauschers</w:t>
      </w:r>
      <w:r w:rsidR="006E1FE7" w:rsidRPr="006E1FE7">
        <w:rPr>
          <w:rFonts w:ascii="Century Gothic" w:hAnsi="Century Gothic" w:cs="Arial"/>
          <w:sz w:val="18"/>
          <w:szCs w:val="18"/>
        </w:rPr>
        <w:t xml:space="preserve"> in der kühlsten Zone des Speichers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="008C787F">
        <w:rPr>
          <w:rFonts w:ascii="Century Gothic" w:hAnsi="Century Gothic" w:cs="Arial"/>
          <w:sz w:val="18"/>
          <w:szCs w:val="18"/>
        </w:rPr>
        <w:t>erhöht</w:t>
      </w:r>
      <w:r>
        <w:rPr>
          <w:rFonts w:ascii="Century Gothic" w:hAnsi="Century Gothic" w:cs="Arial"/>
          <w:sz w:val="18"/>
          <w:szCs w:val="18"/>
        </w:rPr>
        <w:t xml:space="preserve"> die Temperaturdifferenz und somit die übertragbare Wärmeenergie.</w:t>
      </w:r>
    </w:p>
    <w:p w14:paraId="570A863F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2791450F" w:rsidR="00A43BB5" w:rsidRDefault="00A43BB5" w:rsidP="0009637E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443A64">
        <w:rPr>
          <w:rFonts w:ascii="Century Gothic" w:hAnsi="Century Gothic"/>
          <w:sz w:val="18"/>
          <w:szCs w:val="18"/>
          <w:lang w:eastAsia="de-AT"/>
        </w:rPr>
        <w:t>5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69DDBFE5" w14:textId="10F21043" w:rsidR="00C10B26" w:rsidRDefault="00C10B26" w:rsidP="00C10B2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HS-BM136-18/F/L/T</w:t>
      </w:r>
      <w:r w:rsidR="00BD6775">
        <w:rPr>
          <w:rFonts w:ascii="Century Gothic" w:hAnsi="Century Gothic"/>
          <w:b/>
          <w:sz w:val="18"/>
          <w:szCs w:val="18"/>
          <w:lang w:eastAsia="de-AT"/>
        </w:rPr>
        <w:t xml:space="preserve"> (Artikel Nr. 16006)</w:t>
      </w:r>
    </w:p>
    <w:p w14:paraId="7B1791A0" w14:textId="77777777" w:rsidR="00C10B26" w:rsidRDefault="00C10B26" w:rsidP="00C10B26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3C644C03" w14:textId="77777777" w:rsidR="007D2FA1" w:rsidRPr="007D2FA1" w:rsidRDefault="00C10B26" w:rsidP="00C10B26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20 mm Vlies minimiert die Warmhalteverluste und garantiert eine energiesparende Betriebsweise. </w:t>
      </w:r>
    </w:p>
    <w:p w14:paraId="05E815C5" w14:textId="77CE3215" w:rsidR="0086532C" w:rsidRDefault="0019205D" w:rsidP="00C10B26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86532C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6889E685" w:rsidR="00F21ADF" w:rsidRPr="00937DD8" w:rsidRDefault="00F21ADF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08B5F4A7" w:rsidR="00F21ADF" w:rsidRPr="00937DD8" w:rsidRDefault="00F21ADF" w:rsidP="0086532C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3FD8AB53" w14:textId="14BA6483" w:rsidR="007D2FA1" w:rsidRPr="007D2FA1" w:rsidRDefault="00F21ADF" w:rsidP="007D2FA1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BD6775">
        <w:rPr>
          <w:rFonts w:ascii="Century Gothic" w:hAnsi="Century Gothic" w:cs="Arial"/>
          <w:sz w:val="18"/>
          <w:szCs w:val="18"/>
        </w:rPr>
        <w:t>117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7D2FA1" w:rsidRPr="007D2FA1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5BED4" w14:textId="77777777" w:rsidR="00DD5C75" w:rsidRDefault="00DD5C75" w:rsidP="00036588">
      <w:pPr>
        <w:spacing w:after="0" w:line="240" w:lineRule="auto"/>
      </w:pPr>
      <w:r>
        <w:separator/>
      </w:r>
    </w:p>
  </w:endnote>
  <w:endnote w:type="continuationSeparator" w:id="0">
    <w:p w14:paraId="25015EBC" w14:textId="77777777" w:rsidR="00DD5C75" w:rsidRDefault="00DD5C75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BD6775" w:rsidRDefault="00036588" w:rsidP="00036588">
    <w:pPr>
      <w:spacing w:after="0" w:line="240" w:lineRule="auto"/>
      <w:rPr>
        <w:rStyle w:val="Hyperlink"/>
        <w:color w:val="auto"/>
        <w:u w:val="none"/>
        <w:lang w:val="it-IT"/>
      </w:rPr>
    </w:pPr>
    <w:r w:rsidRPr="00BD6775">
      <w:rPr>
        <w:rFonts w:ascii="Century Gothic" w:hAnsi="Century Gothic"/>
        <w:spacing w:val="6"/>
        <w:sz w:val="14"/>
        <w:szCs w:val="14"/>
        <w:lang w:val="it-IT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BD6775">
      <w:rPr>
        <w:rFonts w:ascii="Century Gothic" w:hAnsi="Century Gothic"/>
        <w:spacing w:val="6"/>
        <w:sz w:val="14"/>
        <w:szCs w:val="14"/>
        <w:lang w:val="it-IT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BD6775">
      <w:rPr>
        <w:rFonts w:ascii="Century Gothic" w:hAnsi="Century Gothic"/>
        <w:spacing w:val="6"/>
        <w:sz w:val="14"/>
        <w:szCs w:val="14"/>
        <w:lang w:val="it-IT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BD6775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1" w:history="1">
      <w:r w:rsidRPr="00BD6775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info@speichertechnik.com</w:t>
      </w:r>
    </w:hyperlink>
    <w:r w:rsidRPr="00BD6775">
      <w:rPr>
        <w:rFonts w:ascii="Century Gothic" w:hAnsi="Century Gothic"/>
        <w:spacing w:val="6"/>
        <w:sz w:val="14"/>
        <w:szCs w:val="14"/>
        <w:lang w:val="it-IT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BD6775">
      <w:rPr>
        <w:rFonts w:ascii="Century Gothic" w:hAnsi="Century Gothic"/>
        <w:spacing w:val="6"/>
        <w:sz w:val="14"/>
        <w:szCs w:val="14"/>
        <w:lang w:val="it-IT"/>
      </w:rPr>
      <w:t xml:space="preserve"> </w:t>
    </w:r>
    <w:hyperlink r:id="rId2" w:history="1">
      <w:r w:rsidR="00D46DB5" w:rsidRPr="00BD6775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it-IT"/>
        </w:rPr>
        <w:t>www.speichertechnik.com</w:t>
      </w:r>
    </w:hyperlink>
  </w:p>
  <w:p w14:paraId="425C976C" w14:textId="65079DC0" w:rsidR="00D46DB5" w:rsidRPr="00036588" w:rsidRDefault="007D2FA1" w:rsidP="00D46DB5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02/2020</w:t>
    </w:r>
    <w:r w:rsidR="00981AF4">
      <w:rPr>
        <w:rFonts w:ascii="Century Gothic" w:hAnsi="Century Gothic"/>
        <w:spacing w:val="6"/>
        <w:sz w:val="14"/>
        <w:szCs w:val="14"/>
      </w:rPr>
      <w:tab/>
    </w:r>
    <w:r w:rsidR="00981AF4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153A0" w14:textId="77777777" w:rsidR="00DD5C75" w:rsidRDefault="00DD5C75" w:rsidP="00036588">
      <w:pPr>
        <w:spacing w:after="0" w:line="240" w:lineRule="auto"/>
      </w:pPr>
      <w:r>
        <w:separator/>
      </w:r>
    </w:p>
  </w:footnote>
  <w:footnote w:type="continuationSeparator" w:id="0">
    <w:p w14:paraId="111BA336" w14:textId="77777777" w:rsidR="00DD5C75" w:rsidRDefault="00DD5C75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73351E18" w14:textId="3FD74A6B" w:rsidR="00182B28" w:rsidRPr="007D2FA1" w:rsidRDefault="00AA37F5" w:rsidP="00FA24A4">
    <w:pPr>
      <w:pStyle w:val="Kopfzeile"/>
      <w:rPr>
        <w:rFonts w:ascii="Century Gothic" w:hAnsi="Century Gothic"/>
        <w:sz w:val="9"/>
        <w:szCs w:val="9"/>
      </w:rPr>
    </w:pPr>
    <w:r w:rsidRPr="007D2FA1">
      <w:rPr>
        <w:rFonts w:ascii="Century Gothic" w:hAnsi="Century Gothic"/>
        <w:noProof/>
        <w:sz w:val="9"/>
        <w:szCs w:val="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ED4B1B"/>
    <w:multiLevelType w:val="hybridMultilevel"/>
    <w:tmpl w:val="39725C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01437"/>
    <w:rsid w:val="000028C6"/>
    <w:rsid w:val="000122FA"/>
    <w:rsid w:val="00035F68"/>
    <w:rsid w:val="00036588"/>
    <w:rsid w:val="0005703C"/>
    <w:rsid w:val="000614C6"/>
    <w:rsid w:val="0006238F"/>
    <w:rsid w:val="00070C7B"/>
    <w:rsid w:val="00071096"/>
    <w:rsid w:val="00072A5E"/>
    <w:rsid w:val="000768A0"/>
    <w:rsid w:val="00080B15"/>
    <w:rsid w:val="0008526A"/>
    <w:rsid w:val="0009637E"/>
    <w:rsid w:val="000C60D9"/>
    <w:rsid w:val="000E0B53"/>
    <w:rsid w:val="000F61E2"/>
    <w:rsid w:val="000F795F"/>
    <w:rsid w:val="00105D43"/>
    <w:rsid w:val="001272E7"/>
    <w:rsid w:val="00152D8E"/>
    <w:rsid w:val="00181143"/>
    <w:rsid w:val="00182B28"/>
    <w:rsid w:val="0019205D"/>
    <w:rsid w:val="00194A61"/>
    <w:rsid w:val="001A41A6"/>
    <w:rsid w:val="001E03F4"/>
    <w:rsid w:val="001E10CD"/>
    <w:rsid w:val="001E3560"/>
    <w:rsid w:val="001F74C8"/>
    <w:rsid w:val="00245F5C"/>
    <w:rsid w:val="002978D7"/>
    <w:rsid w:val="002A4FB2"/>
    <w:rsid w:val="002D1A22"/>
    <w:rsid w:val="002E7763"/>
    <w:rsid w:val="002F7E0E"/>
    <w:rsid w:val="003221A3"/>
    <w:rsid w:val="0033650E"/>
    <w:rsid w:val="0036170C"/>
    <w:rsid w:val="003870C1"/>
    <w:rsid w:val="003C7851"/>
    <w:rsid w:val="003D3B98"/>
    <w:rsid w:val="004003E9"/>
    <w:rsid w:val="00411E31"/>
    <w:rsid w:val="004143EB"/>
    <w:rsid w:val="00426560"/>
    <w:rsid w:val="0043455C"/>
    <w:rsid w:val="00442D77"/>
    <w:rsid w:val="00443A64"/>
    <w:rsid w:val="004735A9"/>
    <w:rsid w:val="00484E76"/>
    <w:rsid w:val="004929AD"/>
    <w:rsid w:val="004A014A"/>
    <w:rsid w:val="004E4F34"/>
    <w:rsid w:val="004E63B9"/>
    <w:rsid w:val="004F2C14"/>
    <w:rsid w:val="004F7340"/>
    <w:rsid w:val="0050781D"/>
    <w:rsid w:val="00537A7F"/>
    <w:rsid w:val="0054379C"/>
    <w:rsid w:val="00557444"/>
    <w:rsid w:val="00564A8B"/>
    <w:rsid w:val="00572C5A"/>
    <w:rsid w:val="00591540"/>
    <w:rsid w:val="005A1B8E"/>
    <w:rsid w:val="005B60AC"/>
    <w:rsid w:val="005C1EB1"/>
    <w:rsid w:val="005C5A99"/>
    <w:rsid w:val="005E3FC3"/>
    <w:rsid w:val="00607F68"/>
    <w:rsid w:val="0065366D"/>
    <w:rsid w:val="00677117"/>
    <w:rsid w:val="00685483"/>
    <w:rsid w:val="006A35C5"/>
    <w:rsid w:val="006A3FC0"/>
    <w:rsid w:val="006E1FE7"/>
    <w:rsid w:val="006E3C7B"/>
    <w:rsid w:val="006F1AEC"/>
    <w:rsid w:val="007176DD"/>
    <w:rsid w:val="00741E49"/>
    <w:rsid w:val="0076201D"/>
    <w:rsid w:val="00782187"/>
    <w:rsid w:val="0079662E"/>
    <w:rsid w:val="007A42C4"/>
    <w:rsid w:val="007A7E60"/>
    <w:rsid w:val="007D2FA1"/>
    <w:rsid w:val="007D7EBD"/>
    <w:rsid w:val="007E3002"/>
    <w:rsid w:val="007F0EC5"/>
    <w:rsid w:val="007F21CE"/>
    <w:rsid w:val="0083222E"/>
    <w:rsid w:val="00832665"/>
    <w:rsid w:val="0086532C"/>
    <w:rsid w:val="008845FC"/>
    <w:rsid w:val="008A1EB5"/>
    <w:rsid w:val="008B472D"/>
    <w:rsid w:val="008C038D"/>
    <w:rsid w:val="008C7471"/>
    <w:rsid w:val="008C787F"/>
    <w:rsid w:val="008D1B52"/>
    <w:rsid w:val="008E4BE8"/>
    <w:rsid w:val="00924ED5"/>
    <w:rsid w:val="00931148"/>
    <w:rsid w:val="00937DD8"/>
    <w:rsid w:val="00941B7A"/>
    <w:rsid w:val="0096093F"/>
    <w:rsid w:val="009614F9"/>
    <w:rsid w:val="00966D7B"/>
    <w:rsid w:val="00981AF4"/>
    <w:rsid w:val="009B423F"/>
    <w:rsid w:val="009D1B07"/>
    <w:rsid w:val="00A2676B"/>
    <w:rsid w:val="00A43BB5"/>
    <w:rsid w:val="00A829D1"/>
    <w:rsid w:val="00A8428B"/>
    <w:rsid w:val="00A97AF1"/>
    <w:rsid w:val="00AA37F5"/>
    <w:rsid w:val="00AB2679"/>
    <w:rsid w:val="00AB3526"/>
    <w:rsid w:val="00AB4F96"/>
    <w:rsid w:val="00AD5CBE"/>
    <w:rsid w:val="00B053BA"/>
    <w:rsid w:val="00B0675C"/>
    <w:rsid w:val="00B110C6"/>
    <w:rsid w:val="00B41812"/>
    <w:rsid w:val="00B62CC4"/>
    <w:rsid w:val="00B64BE6"/>
    <w:rsid w:val="00B82943"/>
    <w:rsid w:val="00B87FA0"/>
    <w:rsid w:val="00B91162"/>
    <w:rsid w:val="00B91460"/>
    <w:rsid w:val="00BA5A52"/>
    <w:rsid w:val="00BC38BB"/>
    <w:rsid w:val="00BC399C"/>
    <w:rsid w:val="00BD6775"/>
    <w:rsid w:val="00BE77C9"/>
    <w:rsid w:val="00C10B26"/>
    <w:rsid w:val="00C23A8E"/>
    <w:rsid w:val="00C272ED"/>
    <w:rsid w:val="00C720B1"/>
    <w:rsid w:val="00C84121"/>
    <w:rsid w:val="00C9562B"/>
    <w:rsid w:val="00CA32C0"/>
    <w:rsid w:val="00CC2780"/>
    <w:rsid w:val="00CE4DD6"/>
    <w:rsid w:val="00D46DB5"/>
    <w:rsid w:val="00D532D2"/>
    <w:rsid w:val="00D73488"/>
    <w:rsid w:val="00D760DB"/>
    <w:rsid w:val="00D90CE4"/>
    <w:rsid w:val="00D93172"/>
    <w:rsid w:val="00D9486E"/>
    <w:rsid w:val="00DA20A7"/>
    <w:rsid w:val="00DA2BD1"/>
    <w:rsid w:val="00DB4E4A"/>
    <w:rsid w:val="00DD5C75"/>
    <w:rsid w:val="00E03037"/>
    <w:rsid w:val="00E433F3"/>
    <w:rsid w:val="00E54C6D"/>
    <w:rsid w:val="00E54CD6"/>
    <w:rsid w:val="00E54DEB"/>
    <w:rsid w:val="00EA7827"/>
    <w:rsid w:val="00ED1968"/>
    <w:rsid w:val="00ED4B51"/>
    <w:rsid w:val="00EE10B8"/>
    <w:rsid w:val="00F21ADF"/>
    <w:rsid w:val="00F37725"/>
    <w:rsid w:val="00F46641"/>
    <w:rsid w:val="00F52FF1"/>
    <w:rsid w:val="00F6289C"/>
    <w:rsid w:val="00F6296E"/>
    <w:rsid w:val="00F67125"/>
    <w:rsid w:val="00FA24A4"/>
    <w:rsid w:val="00FA532F"/>
    <w:rsid w:val="00F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906A-0DFC-4CDD-87AF-6F952A52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Forstner;Daniela Lang</dc:creator>
  <cp:keywords/>
  <dc:description/>
  <cp:lastModifiedBy>Corina Sohler</cp:lastModifiedBy>
  <cp:revision>27</cp:revision>
  <cp:lastPrinted>2018-07-17T09:20:00Z</cp:lastPrinted>
  <dcterms:created xsi:type="dcterms:W3CDTF">2018-07-13T07:18:00Z</dcterms:created>
  <dcterms:modified xsi:type="dcterms:W3CDTF">2020-02-27T09:15:00Z</dcterms:modified>
</cp:coreProperties>
</file>