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EA6B9" w14:textId="2376A6D3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</w:t>
      </w:r>
      <w:r w:rsidR="00F81665">
        <w:rPr>
          <w:rFonts w:ascii="Century Gothic" w:hAnsi="Century Gothic"/>
          <w:b/>
          <w:bCs/>
          <w:color w:val="800080"/>
          <w:sz w:val="28"/>
          <w:szCs w:val="28"/>
        </w:rPr>
        <w:t>BM</w:t>
      </w:r>
      <w:r w:rsidR="00A65BF4">
        <w:rPr>
          <w:rFonts w:ascii="Century Gothic" w:hAnsi="Century Gothic"/>
          <w:b/>
          <w:bCs/>
          <w:color w:val="800080"/>
          <w:sz w:val="28"/>
          <w:szCs w:val="28"/>
        </w:rPr>
        <w:t>219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-1</w:t>
      </w:r>
      <w:r w:rsidR="00035F68" w:rsidRPr="00937DD8">
        <w:rPr>
          <w:rFonts w:ascii="Century Gothic" w:hAnsi="Century Gothic"/>
          <w:b/>
          <w:bCs/>
          <w:color w:val="800080"/>
          <w:sz w:val="28"/>
          <w:szCs w:val="28"/>
        </w:rPr>
        <w:t>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4A786F">
        <w:rPr>
          <w:rFonts w:ascii="Century Gothic" w:hAnsi="Century Gothic"/>
          <w:b/>
          <w:bCs/>
          <w:color w:val="800080"/>
          <w:sz w:val="28"/>
          <w:szCs w:val="28"/>
        </w:rPr>
        <w:t>F</w:t>
      </w:r>
      <w:r w:rsidR="00F719BE">
        <w:rPr>
          <w:rFonts w:ascii="Century Gothic" w:hAnsi="Century Gothic"/>
          <w:b/>
          <w:bCs/>
          <w:color w:val="800080"/>
          <w:sz w:val="28"/>
          <w:szCs w:val="28"/>
        </w:rPr>
        <w:t>/K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/T</w:t>
      </w:r>
      <w:r w:rsidR="00F81665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(Artikelnummer 16324)</w:t>
      </w:r>
    </w:p>
    <w:p w14:paraId="7A9C202B" w14:textId="69CD2062" w:rsidR="00F21ADF" w:rsidRPr="00DB4E4A" w:rsidRDefault="00F67125" w:rsidP="001E53B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DB4E4A">
        <w:rPr>
          <w:rFonts w:ascii="Century Gothic" w:hAnsi="Century Gothic" w:cs="Arial"/>
          <w:sz w:val="18"/>
          <w:szCs w:val="18"/>
        </w:rPr>
        <w:t>Der Forstner Hygiene Systemspeicher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(</w:t>
      </w:r>
      <w:r w:rsidR="00C9562B" w:rsidRPr="00DB4E4A">
        <w:rPr>
          <w:rFonts w:ascii="Century Gothic" w:hAnsi="Century Gothic" w:cs="Arial"/>
          <w:sz w:val="18"/>
          <w:szCs w:val="18"/>
        </w:rPr>
        <w:t xml:space="preserve">oder auch </w:t>
      </w:r>
      <w:r w:rsidR="007D7EBD" w:rsidRPr="00DB4E4A">
        <w:rPr>
          <w:rFonts w:ascii="Century Gothic" w:hAnsi="Century Gothic" w:cs="Arial"/>
          <w:sz w:val="18"/>
          <w:szCs w:val="18"/>
        </w:rPr>
        <w:t>Kombispeicher)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F46641" w:rsidRPr="00DB4E4A">
        <w:rPr>
          <w:rFonts w:ascii="Century Gothic" w:hAnsi="Century Gothic" w:cs="Arial"/>
          <w:sz w:val="18"/>
          <w:szCs w:val="18"/>
        </w:rPr>
        <w:t xml:space="preserve">ist ein </w:t>
      </w:r>
      <w:r w:rsidRPr="00DB4E4A">
        <w:rPr>
          <w:rFonts w:ascii="Century Gothic" w:hAnsi="Century Gothic" w:cs="Arial"/>
          <w:sz w:val="18"/>
          <w:szCs w:val="18"/>
        </w:rPr>
        <w:t xml:space="preserve">Wärmespeicher (Pufferspeicher) mit </w:t>
      </w:r>
      <w:r w:rsidR="00CE4DD6" w:rsidRPr="00DB4E4A">
        <w:rPr>
          <w:rFonts w:ascii="Century Gothic" w:hAnsi="Century Gothic" w:cs="Arial"/>
          <w:sz w:val="18"/>
          <w:szCs w:val="18"/>
        </w:rPr>
        <w:t>integriertem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D445EB">
        <w:rPr>
          <w:rFonts w:ascii="Century Gothic" w:hAnsi="Century Gothic" w:cs="Arial"/>
          <w:sz w:val="18"/>
          <w:szCs w:val="18"/>
        </w:rPr>
        <w:t>Trinkwarmwasser-</w:t>
      </w:r>
      <w:r w:rsidR="00CE4DD6" w:rsidRPr="00DB4E4A">
        <w:rPr>
          <w:rFonts w:ascii="Century Gothic" w:hAnsi="Century Gothic" w:cs="Arial"/>
          <w:sz w:val="18"/>
          <w:szCs w:val="18"/>
        </w:rPr>
        <w:t>Wärmetauscher</w:t>
      </w:r>
      <w:r w:rsidR="001E53B3" w:rsidRPr="001E53B3">
        <w:rPr>
          <w:rFonts w:ascii="Century Gothic" w:hAnsi="Century Gothic" w:cs="Arial"/>
          <w:sz w:val="18"/>
          <w:szCs w:val="18"/>
        </w:rPr>
        <w:t>, einem Solarwärmetauscher</w:t>
      </w:r>
      <w:r w:rsidR="009C289A">
        <w:rPr>
          <w:rFonts w:ascii="Century Gothic" w:hAnsi="Century Gothic" w:cs="Arial"/>
          <w:sz w:val="18"/>
          <w:szCs w:val="18"/>
        </w:rPr>
        <w:t xml:space="preserve"> </w:t>
      </w:r>
      <w:r w:rsidR="00CE4DD6" w:rsidRPr="00DB4E4A">
        <w:rPr>
          <w:rFonts w:ascii="Century Gothic" w:hAnsi="Century Gothic" w:cs="Arial"/>
          <w:sz w:val="18"/>
          <w:szCs w:val="18"/>
        </w:rPr>
        <w:t>und speziellen Schichteinrichtungen</w:t>
      </w:r>
      <w:r w:rsidR="007D7EBD" w:rsidRPr="00DB4E4A">
        <w:rPr>
          <w:rFonts w:ascii="Century Gothic" w:hAnsi="Century Gothic" w:cs="Arial"/>
          <w:sz w:val="18"/>
          <w:szCs w:val="18"/>
        </w:rPr>
        <w:t>.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Der Systemspeicher kann </w:t>
      </w:r>
      <w:r w:rsidR="00CE4DD6" w:rsidRPr="00DB4E4A">
        <w:rPr>
          <w:rFonts w:ascii="Century Gothic" w:hAnsi="Century Gothic" w:cs="Arial"/>
          <w:sz w:val="18"/>
          <w:szCs w:val="18"/>
        </w:rPr>
        <w:t>mono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bis multivalent eingebunden werden. </w:t>
      </w:r>
    </w:p>
    <w:p w14:paraId="3940BF8B" w14:textId="0949C53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A65BF4">
        <w:rPr>
          <w:rFonts w:ascii="Century Gothic" w:hAnsi="Century Gothic" w:cs="Arial"/>
          <w:b/>
          <w:bCs/>
          <w:color w:val="800080"/>
          <w:szCs w:val="18"/>
        </w:rPr>
        <w:t>219</w:t>
      </w:r>
    </w:p>
    <w:p w14:paraId="7117D8C6" w14:textId="152DF85F" w:rsidR="005C1EB1" w:rsidRDefault="005C1EB1" w:rsidP="003113EF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AE75AF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2FBD3578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A65BF4">
        <w:rPr>
          <w:rFonts w:ascii="Century Gothic" w:hAnsi="Century Gothic" w:cs="Arial"/>
          <w:sz w:val="18"/>
          <w:szCs w:val="18"/>
        </w:rPr>
        <w:t>2190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2D632EA9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A65BF4">
        <w:rPr>
          <w:rFonts w:ascii="Century Gothic" w:hAnsi="Century Gothic" w:cs="Arial"/>
          <w:sz w:val="18"/>
          <w:szCs w:val="18"/>
        </w:rPr>
        <w:t>1250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0913016B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A65BF4">
        <w:rPr>
          <w:rFonts w:ascii="Century Gothic" w:hAnsi="Century Gothic" w:cs="Arial"/>
          <w:sz w:val="18"/>
          <w:szCs w:val="18"/>
        </w:rPr>
        <w:t>2000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4C24C81F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="00A65BF4">
        <w:rPr>
          <w:rFonts w:ascii="Century Gothic" w:hAnsi="Century Gothic" w:cs="Arial"/>
          <w:sz w:val="18"/>
          <w:szCs w:val="18"/>
        </w:rPr>
        <w:t>2280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8F4427F" w14:textId="4FC4AF02" w:rsidR="005E3FC3" w:rsidRDefault="00F21ADF" w:rsidP="001E53B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="00092380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477AC029" w14:textId="5517746B" w:rsidR="001E53B3" w:rsidRDefault="001E53B3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1E53B3">
        <w:rPr>
          <w:rFonts w:ascii="Century Gothic" w:hAnsi="Century Gothic" w:cs="Arial"/>
          <w:sz w:val="18"/>
          <w:szCs w:val="18"/>
        </w:rPr>
        <w:t>Schichtungseffizienz:</w:t>
      </w:r>
      <w:r w:rsidRPr="001E53B3">
        <w:rPr>
          <w:rFonts w:ascii="Century Gothic" w:hAnsi="Century Gothic" w:cs="Arial"/>
          <w:sz w:val="18"/>
          <w:szCs w:val="18"/>
        </w:rPr>
        <w:tab/>
      </w:r>
      <w:r w:rsidRPr="001E53B3">
        <w:rPr>
          <w:rFonts w:ascii="Century Gothic" w:hAnsi="Century Gothic" w:cs="Arial"/>
          <w:sz w:val="18"/>
          <w:szCs w:val="18"/>
        </w:rPr>
        <w:tab/>
      </w:r>
      <w:r w:rsidRPr="001E53B3">
        <w:rPr>
          <w:rFonts w:ascii="Century Gothic" w:hAnsi="Century Gothic" w:cs="Arial"/>
          <w:sz w:val="18"/>
          <w:szCs w:val="18"/>
        </w:rPr>
        <w:tab/>
      </w:r>
      <w:r w:rsidRPr="001E53B3">
        <w:rPr>
          <w:rFonts w:ascii="Century Gothic" w:hAnsi="Century Gothic" w:cs="Arial"/>
          <w:sz w:val="18"/>
          <w:szCs w:val="18"/>
        </w:rPr>
        <w:tab/>
      </w:r>
      <w:r w:rsidRPr="001E53B3">
        <w:rPr>
          <w:rFonts w:ascii="Century Gothic" w:hAnsi="Century Gothic" w:cs="Arial"/>
          <w:sz w:val="18"/>
          <w:szCs w:val="18"/>
        </w:rPr>
        <w:tab/>
      </w:r>
      <w:r w:rsidRPr="001E53B3">
        <w:rPr>
          <w:rFonts w:ascii="Century Gothic" w:hAnsi="Century Gothic" w:cs="Arial"/>
          <w:sz w:val="18"/>
          <w:szCs w:val="18"/>
        </w:rPr>
        <w:tab/>
      </w:r>
      <w:r w:rsidRPr="001E53B3">
        <w:rPr>
          <w:rFonts w:ascii="Century Gothic" w:hAnsi="Century Gothic" w:cs="Arial"/>
          <w:sz w:val="18"/>
          <w:szCs w:val="18"/>
        </w:rPr>
        <w:tab/>
      </w:r>
      <w:r w:rsidRPr="001E53B3">
        <w:rPr>
          <w:rFonts w:ascii="Century Gothic" w:hAnsi="Century Gothic" w:cs="Arial"/>
          <w:sz w:val="18"/>
          <w:szCs w:val="18"/>
        </w:rPr>
        <w:tab/>
        <w:t>mindestens 86 %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3113EF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665C75" w:rsidRDefault="004735A9" w:rsidP="004735A9">
      <w:pPr>
        <w:spacing w:after="0" w:line="240" w:lineRule="auto"/>
        <w:rPr>
          <w:rFonts w:ascii="Century Gothic" w:hAnsi="Century Gothic" w:cs="Arial"/>
          <w:sz w:val="6"/>
          <w:szCs w:val="18"/>
        </w:rPr>
      </w:pPr>
    </w:p>
    <w:p w14:paraId="23153F1E" w14:textId="5A52666E" w:rsidR="007A7E60" w:rsidRPr="00092380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092380">
        <w:rPr>
          <w:rFonts w:ascii="Century Gothic" w:hAnsi="Century Gothic" w:cs="Arial"/>
          <w:sz w:val="18"/>
          <w:szCs w:val="18"/>
        </w:rPr>
        <w:t>1 x</w:t>
      </w:r>
      <w:r w:rsidRPr="00092380">
        <w:rPr>
          <w:rFonts w:ascii="Century Gothic" w:hAnsi="Century Gothic" w:cs="Arial"/>
          <w:sz w:val="18"/>
          <w:szCs w:val="18"/>
        </w:rPr>
        <w:tab/>
      </w:r>
      <w:r w:rsidR="007A7E60" w:rsidRPr="00092380">
        <w:rPr>
          <w:rFonts w:ascii="Century Gothic" w:hAnsi="Century Gothic" w:cs="Arial"/>
          <w:sz w:val="18"/>
          <w:szCs w:val="18"/>
        </w:rPr>
        <w:t>IG 1“</w:t>
      </w:r>
      <w:r w:rsidRPr="00092380">
        <w:rPr>
          <w:rFonts w:ascii="Century Gothic" w:hAnsi="Century Gothic" w:cs="Arial"/>
          <w:sz w:val="18"/>
          <w:szCs w:val="18"/>
        </w:rPr>
        <w:tab/>
      </w:r>
      <w:r w:rsidRPr="00092380">
        <w:rPr>
          <w:rFonts w:ascii="Century Gothic" w:hAnsi="Century Gothic" w:cs="Arial"/>
          <w:sz w:val="18"/>
          <w:szCs w:val="18"/>
        </w:rPr>
        <w:tab/>
      </w:r>
      <w:r w:rsidRPr="00092380">
        <w:rPr>
          <w:rFonts w:ascii="Century Gothic" w:hAnsi="Century Gothic" w:cs="Arial"/>
          <w:sz w:val="18"/>
          <w:szCs w:val="18"/>
        </w:rPr>
        <w:tab/>
      </w:r>
      <w:r w:rsidRPr="00092380">
        <w:rPr>
          <w:rFonts w:ascii="Century Gothic" w:hAnsi="Century Gothic" w:cs="Arial"/>
          <w:sz w:val="18"/>
          <w:szCs w:val="18"/>
        </w:rPr>
        <w:tab/>
      </w:r>
      <w:r w:rsidR="007A7E60" w:rsidRPr="00092380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443F645B" w:rsidR="007A7E60" w:rsidRPr="007A7E60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 für eine</w:t>
      </w:r>
    </w:p>
    <w:p w14:paraId="6EB946BB" w14:textId="337FA135" w:rsidR="0083222E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F1E94">
        <w:rPr>
          <w:rFonts w:ascii="Century Gothic" w:hAnsi="Century Gothic" w:cs="Arial"/>
          <w:sz w:val="18"/>
          <w:szCs w:val="18"/>
        </w:rPr>
        <w:t>Expansion / Entleerung / Erweiterung</w:t>
      </w:r>
    </w:p>
    <w:p w14:paraId="5CA5EE26" w14:textId="25D55E1E" w:rsidR="00B62CC4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245F5C">
        <w:rPr>
          <w:rFonts w:ascii="Century Gothic" w:hAnsi="Century Gothic" w:cs="Arial"/>
          <w:sz w:val="18"/>
          <w:szCs w:val="18"/>
        </w:rPr>
        <w:t>6</w:t>
      </w:r>
      <w:r w:rsidR="00B62CC4">
        <w:rPr>
          <w:rFonts w:ascii="Century Gothic" w:hAnsi="Century Gothic" w:cs="Arial"/>
          <w:sz w:val="18"/>
          <w:szCs w:val="18"/>
        </w:rPr>
        <w:t>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62CC4">
        <w:rPr>
          <w:rFonts w:ascii="Century Gothic" w:hAnsi="Century Gothic" w:cs="Arial"/>
          <w:sz w:val="18"/>
          <w:szCs w:val="18"/>
        </w:rPr>
        <w:t>Heizkreis und Wärmeerzeuger</w:t>
      </w:r>
    </w:p>
    <w:p w14:paraId="3AFD2204" w14:textId="06BD7A63" w:rsidR="00B62CC4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4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3E70C0">
        <w:rPr>
          <w:rFonts w:ascii="Century Gothic" w:hAnsi="Century Gothic" w:cs="Arial"/>
          <w:sz w:val="18"/>
          <w:szCs w:val="18"/>
        </w:rPr>
        <w:t xml:space="preserve">Verbindung </w:t>
      </w:r>
      <w:r w:rsidR="000122FA">
        <w:rPr>
          <w:rFonts w:ascii="Century Gothic" w:hAnsi="Century Gothic" w:cs="Arial"/>
          <w:sz w:val="18"/>
          <w:szCs w:val="18"/>
        </w:rPr>
        <w:t>Erweiterungsspeicher oder Elektro-Einschraubheizkörper</w:t>
      </w:r>
    </w:p>
    <w:p w14:paraId="622E8A6F" w14:textId="74474753" w:rsidR="000122FA" w:rsidRDefault="00092380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</w:t>
      </w:r>
      <w:r>
        <w:rPr>
          <w:rFonts w:ascii="Century Gothic" w:hAnsi="Century Gothic" w:cs="Arial"/>
          <w:sz w:val="18"/>
          <w:szCs w:val="18"/>
        </w:rPr>
        <w:t>6/4</w:t>
      </w:r>
      <w:r w:rsidR="008845FC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C940AC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3E84762B" w14:textId="090532A5" w:rsidR="001E53B3" w:rsidRDefault="00092380" w:rsidP="001E53B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AG 3/4"</w:t>
      </w:r>
      <w:r w:rsidR="0083222E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Trinkwarmwasser-Zirkulationsrückführung</w:t>
      </w:r>
    </w:p>
    <w:p w14:paraId="27749060" w14:textId="77678E6E" w:rsidR="001E53B3" w:rsidRPr="001E53B3" w:rsidRDefault="001E53B3" w:rsidP="001E53B3">
      <w:pPr>
        <w:pStyle w:val="Listenabsatz"/>
        <w:numPr>
          <w:ilvl w:val="0"/>
          <w:numId w:val="3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  <w:t>AG 1"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>Solartauscher aus dem Werkst. 1.4403/V2A (max. -Betriebsdruck 8,0 bar)</w:t>
      </w:r>
    </w:p>
    <w:p w14:paraId="0D6C930B" w14:textId="50CAAFD8" w:rsidR="00F21ADF" w:rsidRPr="00B053BA" w:rsidRDefault="00F21ADF" w:rsidP="00092380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B053BA">
        <w:rPr>
          <w:rFonts w:ascii="Century Gothic" w:hAnsi="Century Gothic" w:cs="Arial"/>
          <w:b/>
          <w:bCs/>
          <w:sz w:val="18"/>
          <w:szCs w:val="18"/>
        </w:rPr>
        <w:t>Schichtmodul</w:t>
      </w:r>
      <w:r w:rsidR="00291716">
        <w:rPr>
          <w:rFonts w:ascii="Century Gothic" w:hAnsi="Century Gothic" w:cs="Arial"/>
          <w:b/>
          <w:bCs/>
          <w:sz w:val="18"/>
          <w:szCs w:val="18"/>
        </w:rPr>
        <w:t>e</w:t>
      </w:r>
    </w:p>
    <w:p w14:paraId="7CF9047E" w14:textId="0206890F" w:rsidR="00AD3872" w:rsidRDefault="00AD3872" w:rsidP="00AD3872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Überströmelemente,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1E53B3">
        <w:rPr>
          <w:rFonts w:ascii="Century Gothic" w:hAnsi="Century Gothic" w:cs="Arial"/>
          <w:sz w:val="18"/>
          <w:szCs w:val="18"/>
        </w:rPr>
        <w:t xml:space="preserve"> </w:t>
      </w:r>
      <w:r w:rsidR="001E53B3" w:rsidRPr="001E53B3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7AB2ADA8" w:rsidR="004735A9" w:rsidRDefault="00C84121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726EE287" w:rsidR="004735A9" w:rsidRDefault="00C84121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38360AAC" w:rsidR="004735A9" w:rsidRDefault="00C84121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3AB257C7" w14:textId="5DF95DB7" w:rsidR="00F719BE" w:rsidRDefault="007F0EC5" w:rsidP="00F719BE">
      <w:pPr>
        <w:pStyle w:val="Listenabsatz"/>
        <w:numPr>
          <w:ilvl w:val="0"/>
          <w:numId w:val="3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proofErr w:type="spellStart"/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des Wärmeerzeugers</w:t>
      </w:r>
      <w:proofErr w:type="gramStart"/>
      <w:r w:rsidR="00F52FF1">
        <w:rPr>
          <w:rFonts w:ascii="Century Gothic" w:hAnsi="Century Gothic" w:cs="Arial"/>
          <w:sz w:val="18"/>
          <w:szCs w:val="18"/>
        </w:rPr>
        <w:t>.</w:t>
      </w:r>
      <w:r w:rsidR="00F719BE" w:rsidRPr="00F719BE">
        <w:rPr>
          <w:rFonts w:ascii="Century Gothic" w:hAnsi="Century Gothic" w:cs="Arial"/>
          <w:sz w:val="18"/>
          <w:szCs w:val="18"/>
        </w:rPr>
        <w:t xml:space="preserve"> </w:t>
      </w:r>
      <w:r w:rsidR="00F719BE">
        <w:rPr>
          <w:rFonts w:ascii="Century Gothic" w:hAnsi="Century Gothic" w:cs="Arial"/>
          <w:sz w:val="18"/>
          <w:szCs w:val="18"/>
        </w:rPr>
        <w:t>.</w:t>
      </w:r>
      <w:proofErr w:type="gramEnd"/>
    </w:p>
    <w:p w14:paraId="66DE35E5" w14:textId="77777777" w:rsidR="00F719BE" w:rsidRPr="006E1FE7" w:rsidRDefault="00F719BE" w:rsidP="00F719BE">
      <w:pPr>
        <w:spacing w:before="120"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6E1FE7">
        <w:rPr>
          <w:rFonts w:ascii="Century Gothic" w:hAnsi="Century Gothic" w:cs="Arial"/>
          <w:b/>
          <w:sz w:val="18"/>
          <w:szCs w:val="18"/>
        </w:rPr>
        <w:t>Solartauscher</w:t>
      </w:r>
    </w:p>
    <w:p w14:paraId="1CDF5BC2" w14:textId="7FEDABDE" w:rsidR="00F719BE" w:rsidRPr="00F719BE" w:rsidRDefault="00F719BE" w:rsidP="00F719BE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Die l</w:t>
      </w:r>
      <w:r w:rsidRPr="006E1FE7">
        <w:rPr>
          <w:rFonts w:ascii="Century Gothic" w:hAnsi="Century Gothic" w:cs="Arial"/>
          <w:sz w:val="18"/>
          <w:szCs w:val="18"/>
        </w:rPr>
        <w:t>eistungsmaximierende Anordnung de</w:t>
      </w:r>
      <w:r>
        <w:rPr>
          <w:rFonts w:ascii="Century Gothic" w:hAnsi="Century Gothic" w:cs="Arial"/>
          <w:sz w:val="18"/>
          <w:szCs w:val="18"/>
        </w:rPr>
        <w:t>s</w:t>
      </w:r>
      <w:r w:rsidRPr="006E1FE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Wärmetauschers</w:t>
      </w:r>
      <w:r w:rsidRPr="006E1FE7">
        <w:rPr>
          <w:rFonts w:ascii="Century Gothic" w:hAnsi="Century Gothic" w:cs="Arial"/>
          <w:sz w:val="18"/>
          <w:szCs w:val="18"/>
        </w:rPr>
        <w:t xml:space="preserve"> in der kühlsten Zone des Speichers</w:t>
      </w:r>
      <w:r>
        <w:rPr>
          <w:rFonts w:ascii="Century Gothic" w:hAnsi="Century Gothic" w:cs="Arial"/>
          <w:sz w:val="18"/>
          <w:szCs w:val="18"/>
        </w:rPr>
        <w:t xml:space="preserve"> erhöht die Temperaturdifferenz und somit die übertragbare Wärmeenergie.</w:t>
      </w:r>
    </w:p>
    <w:p w14:paraId="570A863F" w14:textId="77777777" w:rsidR="00F21ADF" w:rsidRPr="00B053BA" w:rsidRDefault="00F21ADF" w:rsidP="00092380">
      <w:pPr>
        <w:pStyle w:val="Versandanweisungen"/>
        <w:spacing w:before="120"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22B536A4" w:rsidR="00A43BB5" w:rsidRDefault="00A43BB5" w:rsidP="003113EF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203D39">
        <w:rPr>
          <w:rFonts w:ascii="Century Gothic" w:hAnsi="Century Gothic"/>
          <w:sz w:val="18"/>
          <w:szCs w:val="18"/>
          <w:lang w:eastAsia="de-AT"/>
        </w:rPr>
        <w:t>5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408A65A5" w14:textId="69241825" w:rsidR="00AD4AE1" w:rsidRDefault="00AD4AE1" w:rsidP="00AD4AE1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 für HS-</w:t>
      </w:r>
      <w:r w:rsidR="00F81665">
        <w:rPr>
          <w:rFonts w:ascii="Century Gothic" w:hAnsi="Century Gothic"/>
          <w:b/>
          <w:sz w:val="18"/>
          <w:szCs w:val="18"/>
          <w:lang w:eastAsia="de-AT"/>
        </w:rPr>
        <w:t>BM</w:t>
      </w:r>
      <w:r w:rsidR="00A65BF4">
        <w:rPr>
          <w:rFonts w:ascii="Century Gothic" w:hAnsi="Century Gothic"/>
          <w:b/>
          <w:sz w:val="18"/>
          <w:szCs w:val="18"/>
          <w:lang w:eastAsia="de-AT"/>
        </w:rPr>
        <w:t>219</w:t>
      </w:r>
      <w:r>
        <w:rPr>
          <w:rFonts w:ascii="Century Gothic" w:hAnsi="Century Gothic"/>
          <w:b/>
          <w:sz w:val="18"/>
          <w:szCs w:val="18"/>
          <w:lang w:eastAsia="de-AT"/>
        </w:rPr>
        <w:t>-18/F</w:t>
      </w:r>
      <w:r w:rsidR="00F81665">
        <w:rPr>
          <w:rFonts w:ascii="Century Gothic" w:hAnsi="Century Gothic"/>
          <w:b/>
          <w:sz w:val="18"/>
          <w:szCs w:val="18"/>
          <w:lang w:eastAsia="de-AT"/>
        </w:rPr>
        <w:t>/K</w:t>
      </w:r>
      <w:r>
        <w:rPr>
          <w:rFonts w:ascii="Century Gothic" w:hAnsi="Century Gothic"/>
          <w:b/>
          <w:sz w:val="18"/>
          <w:szCs w:val="18"/>
          <w:lang w:eastAsia="de-AT"/>
        </w:rPr>
        <w:t>/T</w:t>
      </w:r>
      <w:r w:rsidR="00F81665">
        <w:rPr>
          <w:rFonts w:ascii="Century Gothic" w:hAnsi="Century Gothic"/>
          <w:b/>
          <w:sz w:val="18"/>
          <w:szCs w:val="18"/>
          <w:lang w:eastAsia="de-AT"/>
        </w:rPr>
        <w:t xml:space="preserve"> (Artikelnummer 16030)</w:t>
      </w:r>
    </w:p>
    <w:p w14:paraId="186A4C80" w14:textId="77777777" w:rsidR="00AD4AE1" w:rsidRDefault="00AD4AE1" w:rsidP="00AD4AE1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Neopor / Polyesterfaservlies </w:t>
      </w:r>
    </w:p>
    <w:p w14:paraId="78E57529" w14:textId="77777777" w:rsidR="00A65BF4" w:rsidRPr="00A65BF4" w:rsidRDefault="00AD4AE1" w:rsidP="00455602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A65BF4">
        <w:rPr>
          <w:rFonts w:ascii="Century Gothic" w:hAnsi="Century Gothic"/>
          <w:sz w:val="18"/>
          <w:szCs w:val="18"/>
          <w:lang w:eastAsia="de-AT"/>
        </w:rPr>
        <w:t>Die vorgefertigte Dämmung für die Wärmespeicher mit einer Stärke von 100 mm Neopor und 20 mm Vlies minimiert die Warmhalteverluste und garantiert eine energiesparende Betriebsweise</w:t>
      </w:r>
    </w:p>
    <w:p w14:paraId="2596ACC1" w14:textId="2A6ED4C6" w:rsidR="00092380" w:rsidRPr="00A65BF4" w:rsidRDefault="0019205D" w:rsidP="00455602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A65BF4">
        <w:rPr>
          <w:rFonts w:ascii="Century Gothic" w:hAnsi="Century Gothic" w:cs="Arial"/>
          <w:sz w:val="18"/>
          <w:szCs w:val="18"/>
        </w:rPr>
        <w:t>S</w:t>
      </w:r>
      <w:r w:rsidR="00F21ADF" w:rsidRPr="00A65BF4">
        <w:rPr>
          <w:rFonts w:ascii="Century Gothic" w:hAnsi="Century Gothic" w:cs="Arial"/>
          <w:sz w:val="18"/>
          <w:szCs w:val="18"/>
        </w:rPr>
        <w:t xml:space="preserve">elbstlöschend nach ISO-3582 (DIN-4102), Deckeldämmung 100/50, </w:t>
      </w:r>
      <w:r w:rsidR="00092380" w:rsidRPr="00A65BF4">
        <w:rPr>
          <w:rFonts w:ascii="Century Gothic" w:hAnsi="Century Gothic" w:cs="Arial"/>
          <w:sz w:val="18"/>
          <w:szCs w:val="18"/>
        </w:rPr>
        <w:t>Bodendämmung 50 mm Vlies</w:t>
      </w:r>
    </w:p>
    <w:p w14:paraId="32C45E66" w14:textId="029EEA7F" w:rsidR="00F21ADF" w:rsidRPr="00937DD8" w:rsidRDefault="00F21ADF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32662FB8" w14:textId="406C5BBF" w:rsidR="00F21ADF" w:rsidRPr="00937DD8" w:rsidRDefault="00F21ADF" w:rsidP="00092380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</w:p>
    <w:sectPr w:rsidR="00F21ADF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EF108" w14:textId="77777777" w:rsidR="00CF0306" w:rsidRDefault="00CF0306" w:rsidP="00036588">
      <w:pPr>
        <w:spacing w:after="0" w:line="240" w:lineRule="auto"/>
      </w:pPr>
      <w:r>
        <w:separator/>
      </w:r>
    </w:p>
  </w:endnote>
  <w:endnote w:type="continuationSeparator" w:id="0">
    <w:p w14:paraId="6A9EADE3" w14:textId="77777777" w:rsidR="00CF0306" w:rsidRDefault="00CF0306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A65BF4" w:rsidRDefault="00036588" w:rsidP="00036588">
    <w:pPr>
      <w:spacing w:after="0" w:line="240" w:lineRule="auto"/>
      <w:rPr>
        <w:rFonts w:ascii="Century Gothic" w:hAnsi="Century Gothic"/>
        <w:b/>
        <w:color w:val="831F82"/>
        <w:spacing w:val="6"/>
        <w:sz w:val="14"/>
        <w:szCs w:val="14"/>
        <w:lang w:val="it-IT"/>
      </w:rPr>
    </w:pPr>
    <w:r w:rsidRPr="00A65BF4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A65BF4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A65BF4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A65BF4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="007613FE">
      <w:fldChar w:fldCharType="begin"/>
    </w:r>
    <w:r w:rsidR="007613FE" w:rsidRPr="002A743E">
      <w:rPr>
        <w:lang w:val="it-IT"/>
      </w:rPr>
      <w:instrText xml:space="preserve"> HYPERLINK "mailto:info@speichertechnik.com" </w:instrText>
    </w:r>
    <w:r w:rsidR="007613FE">
      <w:fldChar w:fldCharType="separate"/>
    </w:r>
    <w:r w:rsidRPr="00A65BF4">
      <w:rPr>
        <w:rStyle w:val="Hyperlink"/>
        <w:rFonts w:ascii="Century Gothic" w:hAnsi="Century Gothic"/>
        <w:color w:val="auto"/>
        <w:spacing w:val="6"/>
        <w:sz w:val="14"/>
        <w:szCs w:val="14"/>
        <w:u w:val="none"/>
        <w:lang w:val="it-IT"/>
      </w:rPr>
      <w:t>info@speichertechnik.com</w:t>
    </w:r>
    <w:r w:rsidR="007613FE">
      <w:rPr>
        <w:rStyle w:val="Hyperlink"/>
        <w:rFonts w:ascii="Century Gothic" w:hAnsi="Century Gothic"/>
        <w:color w:val="auto"/>
        <w:spacing w:val="6"/>
        <w:sz w:val="14"/>
        <w:szCs w:val="14"/>
        <w:u w:val="none"/>
        <w:lang w:val="it-IT"/>
      </w:rPr>
      <w:fldChar w:fldCharType="end"/>
    </w:r>
    <w:r w:rsidRPr="00A65BF4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A65BF4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="00D46DB5" w:rsidRPr="00A65BF4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41916502" w:rsidR="00D46DB5" w:rsidRPr="00036588" w:rsidRDefault="001E53B3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092380">
      <w:rPr>
        <w:rFonts w:ascii="Century Gothic" w:hAnsi="Century Gothic"/>
        <w:spacing w:val="6"/>
        <w:sz w:val="14"/>
        <w:szCs w:val="14"/>
      </w:rPr>
      <w:tab/>
    </w:r>
    <w:r w:rsidR="00092380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72F37" w14:textId="77777777" w:rsidR="00CF0306" w:rsidRDefault="00CF0306" w:rsidP="00036588">
      <w:pPr>
        <w:spacing w:after="0" w:line="240" w:lineRule="auto"/>
      </w:pPr>
      <w:r>
        <w:separator/>
      </w:r>
    </w:p>
  </w:footnote>
  <w:footnote w:type="continuationSeparator" w:id="0">
    <w:p w14:paraId="12DEAB3E" w14:textId="77777777" w:rsidR="00CF0306" w:rsidRDefault="00CF0306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2CBCAEAC" w:rsidR="000E0B53" w:rsidRDefault="00937DD8" w:rsidP="00FA24A4">
    <w:pPr>
      <w:pStyle w:val="Kopfzeile"/>
      <w:rPr>
        <w:rFonts w:ascii="Century Gothic" w:hAnsi="Century Gothic"/>
      </w:rPr>
    </w:pPr>
    <w:r w:rsidRPr="000B1224">
      <w:rPr>
        <w:rFonts w:ascii="Century Gothic" w:hAnsi="Century Gothic"/>
        <w:sz w:val="34"/>
        <w:szCs w:val="34"/>
      </w:rPr>
      <w:t>Hygiene-Systemspeicher</w:t>
    </w:r>
    <w:r>
      <w:rPr>
        <w:rFonts w:ascii="Century Gothic" w:hAnsi="Century Gothic"/>
      </w:rPr>
      <w:tab/>
      <w:t xml:space="preserve"> </w:t>
    </w:r>
  </w:p>
  <w:p w14:paraId="73351E18" w14:textId="3FD74A6B" w:rsidR="00182B28" w:rsidRPr="001E53B3" w:rsidRDefault="00AA37F5" w:rsidP="00FA24A4">
    <w:pPr>
      <w:pStyle w:val="Kopfzeile"/>
      <w:rPr>
        <w:rFonts w:ascii="Century Gothic" w:hAnsi="Century Gothic"/>
        <w:sz w:val="10"/>
        <w:szCs w:val="10"/>
      </w:rPr>
    </w:pPr>
    <w:r w:rsidRPr="001E53B3">
      <w:rPr>
        <w:rFonts w:ascii="Century Gothic" w:hAnsi="Century Gothic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A6AA2"/>
    <w:multiLevelType w:val="hybridMultilevel"/>
    <w:tmpl w:val="526681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14AEE"/>
    <w:multiLevelType w:val="hybridMultilevel"/>
    <w:tmpl w:val="9FF29A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7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01437"/>
    <w:rsid w:val="00005FE3"/>
    <w:rsid w:val="000122FA"/>
    <w:rsid w:val="00035F68"/>
    <w:rsid w:val="00036588"/>
    <w:rsid w:val="0005703C"/>
    <w:rsid w:val="000614C6"/>
    <w:rsid w:val="0006238F"/>
    <w:rsid w:val="00070C7B"/>
    <w:rsid w:val="00071096"/>
    <w:rsid w:val="000768A0"/>
    <w:rsid w:val="00080B15"/>
    <w:rsid w:val="00092380"/>
    <w:rsid w:val="000C60D9"/>
    <w:rsid w:val="000E0B53"/>
    <w:rsid w:val="000F61E2"/>
    <w:rsid w:val="00105D43"/>
    <w:rsid w:val="0011069D"/>
    <w:rsid w:val="001272E7"/>
    <w:rsid w:val="00182B28"/>
    <w:rsid w:val="0019205D"/>
    <w:rsid w:val="00194A61"/>
    <w:rsid w:val="001A41A6"/>
    <w:rsid w:val="001B5899"/>
    <w:rsid w:val="001E03F4"/>
    <w:rsid w:val="001E10CD"/>
    <w:rsid w:val="001E3560"/>
    <w:rsid w:val="001E53B3"/>
    <w:rsid w:val="001F723E"/>
    <w:rsid w:val="001F74C8"/>
    <w:rsid w:val="00203D39"/>
    <w:rsid w:val="002359D2"/>
    <w:rsid w:val="00245F5C"/>
    <w:rsid w:val="00291716"/>
    <w:rsid w:val="002978D7"/>
    <w:rsid w:val="002A4FB2"/>
    <w:rsid w:val="002A743E"/>
    <w:rsid w:val="002D1A22"/>
    <w:rsid w:val="002D4DDC"/>
    <w:rsid w:val="002E7763"/>
    <w:rsid w:val="003113EF"/>
    <w:rsid w:val="0033650E"/>
    <w:rsid w:val="0036170C"/>
    <w:rsid w:val="003870C1"/>
    <w:rsid w:val="003B0B79"/>
    <w:rsid w:val="003C7851"/>
    <w:rsid w:val="003D299D"/>
    <w:rsid w:val="003D3B98"/>
    <w:rsid w:val="003E70C0"/>
    <w:rsid w:val="004003E9"/>
    <w:rsid w:val="004143EB"/>
    <w:rsid w:val="00426560"/>
    <w:rsid w:val="0043455C"/>
    <w:rsid w:val="00442D77"/>
    <w:rsid w:val="004735A9"/>
    <w:rsid w:val="00484E76"/>
    <w:rsid w:val="004A014A"/>
    <w:rsid w:val="004A786F"/>
    <w:rsid w:val="004E4F34"/>
    <w:rsid w:val="004E63B9"/>
    <w:rsid w:val="005211D1"/>
    <w:rsid w:val="00537A7F"/>
    <w:rsid w:val="0054379C"/>
    <w:rsid w:val="00557444"/>
    <w:rsid w:val="00564A8B"/>
    <w:rsid w:val="00572C5A"/>
    <w:rsid w:val="00591540"/>
    <w:rsid w:val="005A1B8E"/>
    <w:rsid w:val="005B2370"/>
    <w:rsid w:val="005B60AC"/>
    <w:rsid w:val="005C1EB1"/>
    <w:rsid w:val="005E3FC3"/>
    <w:rsid w:val="00607F68"/>
    <w:rsid w:val="00615D96"/>
    <w:rsid w:val="0065366D"/>
    <w:rsid w:val="00665C75"/>
    <w:rsid w:val="00677117"/>
    <w:rsid w:val="006A3FC0"/>
    <w:rsid w:val="006E1FE7"/>
    <w:rsid w:val="006E358A"/>
    <w:rsid w:val="006E3C7B"/>
    <w:rsid w:val="006F1AEC"/>
    <w:rsid w:val="006F3B1C"/>
    <w:rsid w:val="007176DD"/>
    <w:rsid w:val="00741E49"/>
    <w:rsid w:val="007613FE"/>
    <w:rsid w:val="0076201D"/>
    <w:rsid w:val="00782187"/>
    <w:rsid w:val="007A42C4"/>
    <w:rsid w:val="007A7E60"/>
    <w:rsid w:val="007D7EBD"/>
    <w:rsid w:val="007E2086"/>
    <w:rsid w:val="007E3002"/>
    <w:rsid w:val="007F0EC5"/>
    <w:rsid w:val="007F1E94"/>
    <w:rsid w:val="007F21CE"/>
    <w:rsid w:val="0083222E"/>
    <w:rsid w:val="00832665"/>
    <w:rsid w:val="008845FC"/>
    <w:rsid w:val="008A1EB5"/>
    <w:rsid w:val="008B472D"/>
    <w:rsid w:val="008C038D"/>
    <w:rsid w:val="008C787F"/>
    <w:rsid w:val="008D1B52"/>
    <w:rsid w:val="008E4BE8"/>
    <w:rsid w:val="00915002"/>
    <w:rsid w:val="00924ED5"/>
    <w:rsid w:val="00937DD8"/>
    <w:rsid w:val="00941B7A"/>
    <w:rsid w:val="0096093F"/>
    <w:rsid w:val="009614F9"/>
    <w:rsid w:val="00966D7B"/>
    <w:rsid w:val="009B423F"/>
    <w:rsid w:val="009C289A"/>
    <w:rsid w:val="009D1B07"/>
    <w:rsid w:val="009E7390"/>
    <w:rsid w:val="009F2415"/>
    <w:rsid w:val="00A2676B"/>
    <w:rsid w:val="00A43BB5"/>
    <w:rsid w:val="00A501FB"/>
    <w:rsid w:val="00A65BF4"/>
    <w:rsid w:val="00A752CB"/>
    <w:rsid w:val="00A829D1"/>
    <w:rsid w:val="00A8428B"/>
    <w:rsid w:val="00A97AF1"/>
    <w:rsid w:val="00AA37F5"/>
    <w:rsid w:val="00AB2679"/>
    <w:rsid w:val="00AB3526"/>
    <w:rsid w:val="00AD3872"/>
    <w:rsid w:val="00AD4AE1"/>
    <w:rsid w:val="00AD5CBE"/>
    <w:rsid w:val="00AE75AF"/>
    <w:rsid w:val="00B053BA"/>
    <w:rsid w:val="00B0675C"/>
    <w:rsid w:val="00B110C6"/>
    <w:rsid w:val="00B41812"/>
    <w:rsid w:val="00B62CC4"/>
    <w:rsid w:val="00B64BE6"/>
    <w:rsid w:val="00B87FA0"/>
    <w:rsid w:val="00B91162"/>
    <w:rsid w:val="00B91460"/>
    <w:rsid w:val="00BA5A52"/>
    <w:rsid w:val="00BC38BB"/>
    <w:rsid w:val="00BC399C"/>
    <w:rsid w:val="00BD1E04"/>
    <w:rsid w:val="00BE77C9"/>
    <w:rsid w:val="00BF2725"/>
    <w:rsid w:val="00C23A8E"/>
    <w:rsid w:val="00C272ED"/>
    <w:rsid w:val="00C62828"/>
    <w:rsid w:val="00C720B1"/>
    <w:rsid w:val="00C84121"/>
    <w:rsid w:val="00C940AC"/>
    <w:rsid w:val="00C9562B"/>
    <w:rsid w:val="00CC2780"/>
    <w:rsid w:val="00CE4DD6"/>
    <w:rsid w:val="00CF0306"/>
    <w:rsid w:val="00D1145B"/>
    <w:rsid w:val="00D445EB"/>
    <w:rsid w:val="00D46DB5"/>
    <w:rsid w:val="00D532D2"/>
    <w:rsid w:val="00D760DB"/>
    <w:rsid w:val="00D90CE4"/>
    <w:rsid w:val="00D93172"/>
    <w:rsid w:val="00D9486E"/>
    <w:rsid w:val="00DA2BD1"/>
    <w:rsid w:val="00DB4E4A"/>
    <w:rsid w:val="00DC1C22"/>
    <w:rsid w:val="00E21D16"/>
    <w:rsid w:val="00E433F3"/>
    <w:rsid w:val="00E54C6D"/>
    <w:rsid w:val="00E54CD6"/>
    <w:rsid w:val="00E54DEB"/>
    <w:rsid w:val="00EA7827"/>
    <w:rsid w:val="00ED1968"/>
    <w:rsid w:val="00EE10B8"/>
    <w:rsid w:val="00F21ADF"/>
    <w:rsid w:val="00F46641"/>
    <w:rsid w:val="00F52FF1"/>
    <w:rsid w:val="00F6289C"/>
    <w:rsid w:val="00F65C51"/>
    <w:rsid w:val="00F67125"/>
    <w:rsid w:val="00F719BE"/>
    <w:rsid w:val="00F81665"/>
    <w:rsid w:val="00FA24A4"/>
    <w:rsid w:val="00FB3F7C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471F-EF95-4993-B62E-40277811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4</cp:revision>
  <cp:lastPrinted>2020-09-07T13:04:00Z</cp:lastPrinted>
  <dcterms:created xsi:type="dcterms:W3CDTF">2020-02-27T09:32:00Z</dcterms:created>
  <dcterms:modified xsi:type="dcterms:W3CDTF">2020-09-07T13:04:00Z</dcterms:modified>
</cp:coreProperties>
</file>