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A6B9" w14:textId="5E7578CD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</w:t>
      </w:r>
      <w:r w:rsidR="00090904">
        <w:rPr>
          <w:rFonts w:ascii="Century Gothic" w:hAnsi="Century Gothic"/>
          <w:b/>
          <w:bCs/>
          <w:color w:val="800080"/>
          <w:sz w:val="28"/>
          <w:szCs w:val="28"/>
        </w:rPr>
        <w:t>219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9D3A2C">
        <w:rPr>
          <w:rFonts w:ascii="Century Gothic" w:hAnsi="Century Gothic"/>
          <w:b/>
          <w:bCs/>
          <w:color w:val="800080"/>
          <w:sz w:val="28"/>
          <w:szCs w:val="28"/>
        </w:rPr>
        <w:t>9</w:t>
      </w:r>
      <w:r w:rsidR="00373C6A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170</w:t>
      </w:r>
      <w:r w:rsidR="00090904">
        <w:rPr>
          <w:rFonts w:ascii="Century Gothic" w:hAnsi="Century Gothic"/>
          <w:b/>
          <w:bCs/>
          <w:color w:val="800080"/>
          <w:sz w:val="28"/>
          <w:szCs w:val="28"/>
        </w:rPr>
        <w:t>74</w:t>
      </w:r>
      <w:r w:rsidR="00373C6A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6B7C08B6" w14:textId="6DA1C434" w:rsidR="000B7314" w:rsidRDefault="000B7314" w:rsidP="001200F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06BDD194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090904">
        <w:rPr>
          <w:rFonts w:ascii="Century Gothic" w:hAnsi="Century Gothic" w:cs="Arial"/>
          <w:b/>
          <w:bCs/>
          <w:color w:val="800080"/>
          <w:szCs w:val="18"/>
        </w:rPr>
        <w:t>219</w:t>
      </w:r>
    </w:p>
    <w:p w14:paraId="7117D8C6" w14:textId="251E199E" w:rsidR="005C1EB1" w:rsidRDefault="005C1EB1" w:rsidP="00752B2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26CEA7AF" w14:textId="5EE3BEF2" w:rsidR="00090904" w:rsidRPr="00B053BA" w:rsidRDefault="00090904" w:rsidP="00F627B9">
      <w:pPr>
        <w:tabs>
          <w:tab w:val="left" w:pos="3119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="00F627B9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2190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6103AEAD" w14:textId="33A892B6" w:rsidR="00090904" w:rsidRPr="00B053BA" w:rsidRDefault="00090904" w:rsidP="00F627B9">
      <w:pPr>
        <w:tabs>
          <w:tab w:val="left" w:pos="3119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F627B9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1250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65511556" w14:textId="221F16D8" w:rsidR="00090904" w:rsidRPr="00B053BA" w:rsidRDefault="00090904" w:rsidP="00F627B9">
      <w:pPr>
        <w:tabs>
          <w:tab w:val="left" w:pos="3119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="00F627B9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2000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2AC730F" w14:textId="37F82E86" w:rsidR="00090904" w:rsidRPr="00B053BA" w:rsidRDefault="00090904" w:rsidP="00F627B9">
      <w:pPr>
        <w:tabs>
          <w:tab w:val="left" w:pos="3119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2280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5CC6F917" w14:textId="0FDF9886" w:rsidR="00090904" w:rsidRDefault="00090904" w:rsidP="00F627B9">
      <w:pPr>
        <w:tabs>
          <w:tab w:val="left" w:pos="3119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>
        <w:rPr>
          <w:rFonts w:ascii="Century Gothic" w:hAnsi="Century Gothic" w:cs="Arial"/>
          <w:sz w:val="18"/>
          <w:szCs w:val="18"/>
        </w:rPr>
        <w:t xml:space="preserve"> /</w:t>
      </w:r>
      <w:r w:rsidRPr="00C720B1">
        <w:rPr>
          <w:rFonts w:ascii="Century Gothic" w:hAnsi="Century Gothic" w:cs="Arial"/>
          <w:sz w:val="18"/>
          <w:szCs w:val="18"/>
        </w:rPr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>Prüfdruck:</w:t>
      </w:r>
      <w:r w:rsidRPr="00B053BA">
        <w:rPr>
          <w:rFonts w:ascii="Century Gothic" w:hAnsi="Century Gothic" w:cs="Arial"/>
          <w:sz w:val="18"/>
          <w:szCs w:val="18"/>
        </w:rPr>
        <w:tab/>
        <w:t>3,0 bar</w:t>
      </w:r>
      <w:r>
        <w:rPr>
          <w:rFonts w:ascii="Century Gothic" w:hAnsi="Century Gothic" w:cs="Arial"/>
          <w:sz w:val="18"/>
          <w:szCs w:val="18"/>
        </w:rPr>
        <w:t xml:space="preserve"> / </w:t>
      </w:r>
      <w:r w:rsidRPr="00B053BA">
        <w:rPr>
          <w:rFonts w:ascii="Century Gothic" w:hAnsi="Century Gothic" w:cs="Arial"/>
          <w:sz w:val="18"/>
          <w:szCs w:val="18"/>
        </w:rPr>
        <w:t>4,5 bar</w:t>
      </w:r>
    </w:p>
    <w:p w14:paraId="584EBDE6" w14:textId="68C9D5E1" w:rsidR="00090904" w:rsidRDefault="00090904" w:rsidP="00F627B9">
      <w:pPr>
        <w:tabs>
          <w:tab w:val="left" w:pos="3119"/>
        </w:tabs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20"/>
        </w:rPr>
        <w:t>Schichtungseffizienz:</w:t>
      </w:r>
      <w:r>
        <w:rPr>
          <w:rFonts w:ascii="Century Gothic" w:hAnsi="Century Gothic"/>
          <w:sz w:val="18"/>
          <w:szCs w:val="20"/>
        </w:rPr>
        <w:tab/>
        <w:t>mindestens 86 %</w:t>
      </w:r>
    </w:p>
    <w:p w14:paraId="56A4782C" w14:textId="77777777" w:rsidR="009D3A2C" w:rsidRPr="005E3FC3" w:rsidRDefault="009D3A2C" w:rsidP="009D3A2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7EA3119D" w14:textId="77777777" w:rsidR="009D3A2C" w:rsidRPr="002C4E87" w:rsidRDefault="009D3A2C" w:rsidP="009D3A2C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Pr="00B053BA">
        <w:rPr>
          <w:rFonts w:ascii="Century Gothic" w:hAnsi="Century Gothic" w:cs="Arial"/>
          <w:sz w:val="18"/>
          <w:szCs w:val="18"/>
        </w:rPr>
        <w:t>in einer Achsenrichtung angeordnet</w:t>
      </w:r>
      <w:r>
        <w:rPr>
          <w:rFonts w:ascii="Century Gothic" w:hAnsi="Century Gothic" w:cs="Arial"/>
          <w:sz w:val="18"/>
          <w:szCs w:val="18"/>
        </w:rPr>
        <w:t>. Bei allen</w:t>
      </w:r>
      <w:r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>
        <w:rPr>
          <w:rFonts w:ascii="Century Gothic" w:hAnsi="Century Gothic" w:cs="Arial"/>
          <w:sz w:val="18"/>
          <w:szCs w:val="18"/>
        </w:rPr>
        <w:t>m</w:t>
      </w:r>
      <w:r w:rsidRPr="007A7E60">
        <w:rPr>
          <w:rFonts w:ascii="Century Gothic" w:hAnsi="Century Gothic" w:cs="Arial"/>
          <w:sz w:val="18"/>
          <w:szCs w:val="18"/>
        </w:rPr>
        <w:t xml:space="preserve">ögliche </w:t>
      </w:r>
      <w:r>
        <w:rPr>
          <w:rFonts w:ascii="Century Gothic" w:hAnsi="Century Gothic" w:cs="Arial"/>
          <w:sz w:val="18"/>
          <w:szCs w:val="18"/>
        </w:rPr>
        <w:t>Undichtheiten</w:t>
      </w:r>
      <w:r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16278B1F" w:rsidR="004735A9" w:rsidRPr="009D3A2C" w:rsidRDefault="009D3A2C" w:rsidP="009D3A2C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5010439B" w:rsidR="007A7E60" w:rsidRPr="00F21CB5" w:rsidRDefault="00F21CB5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F21CB5">
        <w:rPr>
          <w:rFonts w:ascii="Century Gothic" w:hAnsi="Century Gothic" w:cs="Arial"/>
          <w:sz w:val="18"/>
          <w:szCs w:val="18"/>
        </w:rPr>
        <w:t>1 x</w:t>
      </w:r>
      <w:r w:rsidRPr="00F21CB5">
        <w:rPr>
          <w:rFonts w:ascii="Century Gothic" w:hAnsi="Century Gothic" w:cs="Arial"/>
          <w:sz w:val="18"/>
          <w:szCs w:val="18"/>
        </w:rPr>
        <w:tab/>
      </w:r>
      <w:r w:rsidR="007A7E60" w:rsidRPr="00F21CB5">
        <w:rPr>
          <w:rFonts w:ascii="Century Gothic" w:hAnsi="Century Gothic" w:cs="Arial"/>
          <w:sz w:val="18"/>
          <w:szCs w:val="18"/>
        </w:rPr>
        <w:t>IG 1“</w:t>
      </w:r>
      <w:r w:rsidRPr="00F21CB5">
        <w:rPr>
          <w:rFonts w:ascii="Century Gothic" w:hAnsi="Century Gothic" w:cs="Arial"/>
          <w:sz w:val="18"/>
          <w:szCs w:val="18"/>
        </w:rPr>
        <w:tab/>
      </w:r>
      <w:r w:rsidR="007A7E60" w:rsidRPr="00F21CB5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2DD17D6F" w:rsidR="0083222E" w:rsidRDefault="00F21CB5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39CD3B40" w:rsidR="00017E68" w:rsidRDefault="00F21CB5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32FD4089" w:rsidR="00495AB2" w:rsidRPr="00937DD8" w:rsidRDefault="00F21CB5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2C430987" w:rsidR="00495AB2" w:rsidRPr="00937DD8" w:rsidRDefault="00F21CB5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3014DEAA" w:rsidR="00B62CC4" w:rsidRDefault="00DC5FCC" w:rsidP="00ED2858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r w:rsidR="00F21CB5">
        <w:rPr>
          <w:rFonts w:ascii="Century Gothic" w:hAnsi="Century Gothic" w:cs="Arial"/>
          <w:sz w:val="18"/>
          <w:szCs w:val="18"/>
        </w:rPr>
        <w:t xml:space="preserve"> x</w:t>
      </w:r>
      <w:r w:rsidR="00F21CB5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F21CB5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 xml:space="preserve">Erweiterung / </w:t>
      </w:r>
      <w:r w:rsidR="000122FA">
        <w:rPr>
          <w:rFonts w:ascii="Century Gothic" w:hAnsi="Century Gothic" w:cs="Arial"/>
          <w:sz w:val="18"/>
          <w:szCs w:val="18"/>
        </w:rPr>
        <w:t>Elektro-Einschraubheizkörper</w:t>
      </w:r>
    </w:p>
    <w:p w14:paraId="0D6C930B" w14:textId="3B5A006E" w:rsidR="00F21ADF" w:rsidRPr="00B053BA" w:rsidRDefault="00F21ADF" w:rsidP="00F21CB5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371E1D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17ECEFDB" w14:textId="547556D3" w:rsidR="00E27A19" w:rsidRDefault="00E27A19" w:rsidP="00E27A19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9D3A2C" w:rsidRPr="009D3A2C">
        <w:rPr>
          <w:rFonts w:ascii="Century Gothic" w:hAnsi="Century Gothic" w:cs="Arial"/>
          <w:sz w:val="18"/>
          <w:szCs w:val="18"/>
        </w:rPr>
        <w:t xml:space="preserve"> </w:t>
      </w:r>
      <w:r w:rsidR="009D3A2C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4E380FE" w:rsidR="00A43BB5" w:rsidRDefault="00A43BB5" w:rsidP="00752B2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B715A7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1A48B6C3" w14:textId="3AE8F3B1" w:rsidR="00090904" w:rsidRDefault="00090904" w:rsidP="0009090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Peco-F Dämmung für </w:t>
      </w:r>
      <w:r w:rsidR="00DA51AC">
        <w:rPr>
          <w:rFonts w:ascii="Century Gothic" w:hAnsi="Century Gothic"/>
          <w:b/>
          <w:sz w:val="18"/>
          <w:szCs w:val="18"/>
          <w:lang w:eastAsia="de-AT"/>
        </w:rPr>
        <w:t>WS</w:t>
      </w:r>
      <w:r>
        <w:rPr>
          <w:rFonts w:ascii="Century Gothic" w:hAnsi="Century Gothic"/>
          <w:b/>
          <w:sz w:val="18"/>
          <w:szCs w:val="18"/>
          <w:lang w:eastAsia="de-AT"/>
        </w:rPr>
        <w:t>-</w:t>
      </w:r>
      <w:r w:rsidR="00DA51AC">
        <w:rPr>
          <w:rFonts w:ascii="Century Gothic" w:hAnsi="Century Gothic"/>
          <w:b/>
          <w:sz w:val="18"/>
          <w:szCs w:val="18"/>
          <w:lang w:eastAsia="de-AT"/>
        </w:rPr>
        <w:t>E</w:t>
      </w:r>
      <w:r>
        <w:rPr>
          <w:rFonts w:ascii="Century Gothic" w:hAnsi="Century Gothic"/>
          <w:b/>
          <w:sz w:val="18"/>
          <w:szCs w:val="18"/>
          <w:lang w:eastAsia="de-AT"/>
        </w:rPr>
        <w:t xml:space="preserve">M219-18/F/T (Artikelnummer </w:t>
      </w:r>
      <w:r w:rsidR="00AD4401">
        <w:rPr>
          <w:rFonts w:ascii="Century Gothic" w:hAnsi="Century Gothic"/>
          <w:b/>
          <w:sz w:val="18"/>
          <w:szCs w:val="18"/>
          <w:lang w:eastAsia="de-AT"/>
        </w:rPr>
        <w:t>17081</w:t>
      </w:r>
      <w:r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72981FBE" w14:textId="77777777" w:rsidR="00090904" w:rsidRDefault="00090904" w:rsidP="0009090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5106B21C" w14:textId="77777777" w:rsidR="00090904" w:rsidRPr="00A65BF4" w:rsidRDefault="00090904" w:rsidP="00090904">
      <w:pPr>
        <w:pStyle w:val="Listenabsatz"/>
        <w:numPr>
          <w:ilvl w:val="0"/>
          <w:numId w:val="4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08EBC034" w14:textId="77777777" w:rsidR="00090904" w:rsidRPr="00A65BF4" w:rsidRDefault="00090904" w:rsidP="00090904">
      <w:pPr>
        <w:pStyle w:val="Listenabsatz"/>
        <w:numPr>
          <w:ilvl w:val="0"/>
          <w:numId w:val="4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5739512C" w14:textId="77777777" w:rsidR="00090904" w:rsidRPr="00937DD8" w:rsidRDefault="00090904" w:rsidP="00090904">
      <w:pPr>
        <w:pStyle w:val="Listenabsatz"/>
        <w:numPr>
          <w:ilvl w:val="0"/>
          <w:numId w:val="4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4CEBED5C" w14:textId="77777777" w:rsidR="00090904" w:rsidRPr="00937DD8" w:rsidRDefault="00090904" w:rsidP="00090904">
      <w:pPr>
        <w:pStyle w:val="Listenabsatz"/>
        <w:numPr>
          <w:ilvl w:val="0"/>
          <w:numId w:val="4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11FDBD3D" w14:textId="784165CE" w:rsidR="00090904" w:rsidRPr="000F6594" w:rsidRDefault="00090904" w:rsidP="000F6594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7B54BF2" w14:textId="6EAC91FC" w:rsidR="00B110C6" w:rsidRPr="00090904" w:rsidRDefault="00B110C6" w:rsidP="009D3A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090904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01CA8" w14:textId="77777777" w:rsidR="00A802BD" w:rsidRDefault="00A802BD" w:rsidP="00036588">
      <w:pPr>
        <w:spacing w:after="0" w:line="240" w:lineRule="auto"/>
      </w:pPr>
      <w:r>
        <w:separator/>
      </w:r>
    </w:p>
  </w:endnote>
  <w:endnote w:type="continuationSeparator" w:id="0">
    <w:p w14:paraId="63A0AF29" w14:textId="77777777" w:rsidR="00A802BD" w:rsidRDefault="00A802BD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2D94" w14:textId="77777777" w:rsidR="00373C6A" w:rsidRPr="00036588" w:rsidRDefault="00373C6A" w:rsidP="00373C6A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317563FB" w14:textId="77777777" w:rsidR="00373C6A" w:rsidRPr="003425A1" w:rsidRDefault="00373C6A" w:rsidP="00373C6A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3C3422">
      <w:fldChar w:fldCharType="begin"/>
    </w:r>
    <w:r w:rsidR="003C3422" w:rsidRPr="00ED2858">
      <w:rPr>
        <w:lang w:val="it-IT"/>
      </w:rPr>
      <w:instrText xml:space="preserve"> HYPERLINK "mailto:info@speichertechnik.com" </w:instrText>
    </w:r>
    <w:r w:rsidR="003C3422">
      <w:fldChar w:fldCharType="separate"/>
    </w:r>
    <w:r w:rsidRPr="003425A1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3C3422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3425A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332457DF" w:rsidR="00D46DB5" w:rsidRPr="00373C6A" w:rsidRDefault="00373C6A" w:rsidP="00373C6A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>
      <w:rPr>
        <w:rFonts w:ascii="Century Gothic" w:hAnsi="Century Gothic"/>
        <w:spacing w:val="6"/>
        <w:sz w:val="14"/>
        <w:szCs w:val="14"/>
      </w:rPr>
      <w:tab/>
    </w:r>
    <w:r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EC3E" w14:textId="77777777" w:rsidR="00A802BD" w:rsidRDefault="00A802BD" w:rsidP="00036588">
      <w:pPr>
        <w:spacing w:after="0" w:line="240" w:lineRule="auto"/>
      </w:pPr>
      <w:r>
        <w:separator/>
      </w:r>
    </w:p>
  </w:footnote>
  <w:footnote w:type="continuationSeparator" w:id="0">
    <w:p w14:paraId="6F2E24B0" w14:textId="77777777" w:rsidR="00A802BD" w:rsidRDefault="00A802BD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A6AA2"/>
    <w:multiLevelType w:val="hybridMultilevel"/>
    <w:tmpl w:val="52668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D73"/>
    <w:multiLevelType w:val="hybridMultilevel"/>
    <w:tmpl w:val="D662F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7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90904"/>
    <w:rsid w:val="000B7314"/>
    <w:rsid w:val="000C60D9"/>
    <w:rsid w:val="000D594A"/>
    <w:rsid w:val="000E0B53"/>
    <w:rsid w:val="000F61E2"/>
    <w:rsid w:val="000F6594"/>
    <w:rsid w:val="00105D43"/>
    <w:rsid w:val="001200FB"/>
    <w:rsid w:val="001272E7"/>
    <w:rsid w:val="00182B28"/>
    <w:rsid w:val="00191C0C"/>
    <w:rsid w:val="0019205D"/>
    <w:rsid w:val="001A41A6"/>
    <w:rsid w:val="001E03F4"/>
    <w:rsid w:val="001E10CD"/>
    <w:rsid w:val="00235506"/>
    <w:rsid w:val="00236FCB"/>
    <w:rsid w:val="00257CFA"/>
    <w:rsid w:val="002978D7"/>
    <w:rsid w:val="002D1A22"/>
    <w:rsid w:val="002D5C24"/>
    <w:rsid w:val="002E7763"/>
    <w:rsid w:val="002F1EFE"/>
    <w:rsid w:val="0034569F"/>
    <w:rsid w:val="0036170C"/>
    <w:rsid w:val="00371E1D"/>
    <w:rsid w:val="00373C6A"/>
    <w:rsid w:val="003870C1"/>
    <w:rsid w:val="003C7851"/>
    <w:rsid w:val="003D3B98"/>
    <w:rsid w:val="00412A2E"/>
    <w:rsid w:val="00426560"/>
    <w:rsid w:val="00442D77"/>
    <w:rsid w:val="0046040B"/>
    <w:rsid w:val="004735A9"/>
    <w:rsid w:val="00484E76"/>
    <w:rsid w:val="00495AB2"/>
    <w:rsid w:val="004C540E"/>
    <w:rsid w:val="004E4F34"/>
    <w:rsid w:val="004E63B9"/>
    <w:rsid w:val="004E7A19"/>
    <w:rsid w:val="00510A8A"/>
    <w:rsid w:val="005272FE"/>
    <w:rsid w:val="00527B87"/>
    <w:rsid w:val="005373BA"/>
    <w:rsid w:val="00537A7F"/>
    <w:rsid w:val="0054379C"/>
    <w:rsid w:val="00547BF5"/>
    <w:rsid w:val="005530FC"/>
    <w:rsid w:val="00557444"/>
    <w:rsid w:val="00564A8B"/>
    <w:rsid w:val="00572C5A"/>
    <w:rsid w:val="00591540"/>
    <w:rsid w:val="005B60AC"/>
    <w:rsid w:val="005C1EB1"/>
    <w:rsid w:val="005C3E23"/>
    <w:rsid w:val="005E3FC3"/>
    <w:rsid w:val="005E6274"/>
    <w:rsid w:val="00607F68"/>
    <w:rsid w:val="006176FD"/>
    <w:rsid w:val="0065366D"/>
    <w:rsid w:val="00660438"/>
    <w:rsid w:val="006745E8"/>
    <w:rsid w:val="00696F5C"/>
    <w:rsid w:val="006E1FE7"/>
    <w:rsid w:val="006F1AEC"/>
    <w:rsid w:val="0070522A"/>
    <w:rsid w:val="00710C60"/>
    <w:rsid w:val="007176DD"/>
    <w:rsid w:val="00752B2F"/>
    <w:rsid w:val="0076201D"/>
    <w:rsid w:val="00770B18"/>
    <w:rsid w:val="00782187"/>
    <w:rsid w:val="007A42C4"/>
    <w:rsid w:val="007A7E60"/>
    <w:rsid w:val="007D7EBD"/>
    <w:rsid w:val="007E3002"/>
    <w:rsid w:val="007F0EC5"/>
    <w:rsid w:val="007F21CE"/>
    <w:rsid w:val="008209A3"/>
    <w:rsid w:val="00831895"/>
    <w:rsid w:val="0083222E"/>
    <w:rsid w:val="00832665"/>
    <w:rsid w:val="008A1EB5"/>
    <w:rsid w:val="008A4198"/>
    <w:rsid w:val="008B389F"/>
    <w:rsid w:val="008B472D"/>
    <w:rsid w:val="008C787F"/>
    <w:rsid w:val="008D5A90"/>
    <w:rsid w:val="008E4BE8"/>
    <w:rsid w:val="008F1474"/>
    <w:rsid w:val="00924ED5"/>
    <w:rsid w:val="0092501E"/>
    <w:rsid w:val="00937DD8"/>
    <w:rsid w:val="00941B7A"/>
    <w:rsid w:val="009614F9"/>
    <w:rsid w:val="00966D7B"/>
    <w:rsid w:val="009B423F"/>
    <w:rsid w:val="009D1B07"/>
    <w:rsid w:val="009D3A2C"/>
    <w:rsid w:val="009E11E7"/>
    <w:rsid w:val="009E5DFB"/>
    <w:rsid w:val="009E685B"/>
    <w:rsid w:val="00A43BB5"/>
    <w:rsid w:val="00A71CCB"/>
    <w:rsid w:val="00A802BD"/>
    <w:rsid w:val="00A829D1"/>
    <w:rsid w:val="00A97AF1"/>
    <w:rsid w:val="00AA37F5"/>
    <w:rsid w:val="00AA6E71"/>
    <w:rsid w:val="00AB2679"/>
    <w:rsid w:val="00AB3526"/>
    <w:rsid w:val="00AD4401"/>
    <w:rsid w:val="00AD5CBE"/>
    <w:rsid w:val="00B053BA"/>
    <w:rsid w:val="00B110C6"/>
    <w:rsid w:val="00B155F7"/>
    <w:rsid w:val="00B318B5"/>
    <w:rsid w:val="00B41812"/>
    <w:rsid w:val="00B55407"/>
    <w:rsid w:val="00B62CC4"/>
    <w:rsid w:val="00B64B8E"/>
    <w:rsid w:val="00B64BE6"/>
    <w:rsid w:val="00B715A7"/>
    <w:rsid w:val="00B87FA0"/>
    <w:rsid w:val="00B91162"/>
    <w:rsid w:val="00B91460"/>
    <w:rsid w:val="00BA5A52"/>
    <w:rsid w:val="00BC399C"/>
    <w:rsid w:val="00BE7F17"/>
    <w:rsid w:val="00C720B1"/>
    <w:rsid w:val="00C84121"/>
    <w:rsid w:val="00C906FA"/>
    <w:rsid w:val="00C947EB"/>
    <w:rsid w:val="00C9562B"/>
    <w:rsid w:val="00CC2780"/>
    <w:rsid w:val="00CE4DD6"/>
    <w:rsid w:val="00D240C9"/>
    <w:rsid w:val="00D34A37"/>
    <w:rsid w:val="00D37905"/>
    <w:rsid w:val="00D434DF"/>
    <w:rsid w:val="00D46DB5"/>
    <w:rsid w:val="00D532D2"/>
    <w:rsid w:val="00D760DB"/>
    <w:rsid w:val="00D90CE4"/>
    <w:rsid w:val="00D9486E"/>
    <w:rsid w:val="00DA2BD1"/>
    <w:rsid w:val="00DA51AC"/>
    <w:rsid w:val="00DC5FCC"/>
    <w:rsid w:val="00DE2CBD"/>
    <w:rsid w:val="00E20513"/>
    <w:rsid w:val="00E260A4"/>
    <w:rsid w:val="00E27A19"/>
    <w:rsid w:val="00E27C80"/>
    <w:rsid w:val="00E31CF9"/>
    <w:rsid w:val="00E433F3"/>
    <w:rsid w:val="00E54C6D"/>
    <w:rsid w:val="00E54CD6"/>
    <w:rsid w:val="00E54DEB"/>
    <w:rsid w:val="00E93689"/>
    <w:rsid w:val="00EA7827"/>
    <w:rsid w:val="00ED2858"/>
    <w:rsid w:val="00EE10B8"/>
    <w:rsid w:val="00F121E5"/>
    <w:rsid w:val="00F21ADF"/>
    <w:rsid w:val="00F21CB5"/>
    <w:rsid w:val="00F46641"/>
    <w:rsid w:val="00F52FF1"/>
    <w:rsid w:val="00F627B9"/>
    <w:rsid w:val="00F6289C"/>
    <w:rsid w:val="00F67125"/>
    <w:rsid w:val="00FA24A4"/>
    <w:rsid w:val="00FA6000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47D3-2D66-46BF-B9A0-493F8A03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17</cp:revision>
  <cp:lastPrinted>2020-09-07T12:59:00Z</cp:lastPrinted>
  <dcterms:created xsi:type="dcterms:W3CDTF">2020-02-27T12:14:00Z</dcterms:created>
  <dcterms:modified xsi:type="dcterms:W3CDTF">2020-09-07T12:59:00Z</dcterms:modified>
</cp:coreProperties>
</file>